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A971DA">
        <w:rPr>
          <w:rFonts w:eastAsia="Times New Roman"/>
          <w:bCs/>
          <w:sz w:val="24"/>
          <w:szCs w:val="24"/>
          <w:lang w:eastAsia="ja-JP"/>
        </w:rPr>
        <w:t xml:space="preserve">  </w:t>
      </w:r>
      <w:r>
        <w:rPr>
          <w:rFonts w:eastAsia="Times New Roman"/>
          <w:bCs/>
          <w:sz w:val="24"/>
          <w:szCs w:val="24"/>
          <w:lang w:eastAsia="ja-JP"/>
        </w:rPr>
        <w:t xml:space="preserve"> </w:t>
      </w:r>
      <w:r w:rsidR="009E0027" w:rsidRPr="009E0027">
        <w:rPr>
          <w:rFonts w:eastAsia="Times New Roman"/>
          <w:bCs/>
          <w:sz w:val="24"/>
          <w:szCs w:val="24"/>
          <w:lang w:eastAsia="ja-JP"/>
        </w:rPr>
        <w:t>R2-1801530</w:t>
      </w:r>
      <w:r w:rsidR="009E0027">
        <w:rPr>
          <w:color w:val="1F497D"/>
        </w:rPr>
        <w:t xml:space="preserve"> </w:t>
      </w: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E779F6">
        <w:rPr>
          <w:b/>
          <w:noProof/>
          <w:sz w:val="24"/>
        </w:rPr>
        <w:t>10.2.2.1</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1" w:name="OLE_LINK1"/>
      <w:bookmarkStart w:id="2" w:name="OLE_LINK2"/>
      <w:r w:rsidR="00927901">
        <w:rPr>
          <w:b/>
          <w:noProof/>
          <w:sz w:val="24"/>
        </w:rPr>
        <w:t>UE Power Consumption with DRX Coordination in EN-DC</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8C6AB3" w:rsidRPr="005F39AD" w:rsidRDefault="00E0786D" w:rsidP="00804B2B">
      <w:pPr>
        <w:pStyle w:val="Doc-text2"/>
        <w:tabs>
          <w:tab w:val="left" w:pos="340"/>
        </w:tabs>
        <w:spacing w:before="120" w:after="120"/>
        <w:ind w:left="0" w:firstLine="0"/>
        <w:jc w:val="both"/>
        <w:rPr>
          <w:sz w:val="22"/>
          <w:szCs w:val="22"/>
        </w:rPr>
      </w:pPr>
      <w:r w:rsidRPr="005F39AD">
        <w:rPr>
          <w:sz w:val="22"/>
          <w:szCs w:val="22"/>
        </w:rPr>
        <w:t xml:space="preserve">In RAN2#99 meeting, </w:t>
      </w:r>
      <w:r w:rsidR="00D24E9B" w:rsidRPr="005F39AD">
        <w:rPr>
          <w:sz w:val="22"/>
          <w:szCs w:val="22"/>
        </w:rPr>
        <w:t>DRX configuration for EN-DC was discussed. In general, the principle of separate DRX configuration in LTE-DC was applied in EN-DC with following agreements:</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Agreements</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1: In EN-DC, separate DRX configurations are provided for LTE MCG and NR SCG.</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2: The MeNB/SgNB provides the MCG/SCG DRX configuration to the SgNB/MeNB. Whether or not the SCG/MCG aligns DRX configuration with the MCG/SCG is left up to SgNB/MeNB implementation.</w:t>
      </w:r>
    </w:p>
    <w:p w:rsidR="00222258" w:rsidRPr="005F39AD" w:rsidRDefault="00D24E9B" w:rsidP="00804B2B">
      <w:pPr>
        <w:pStyle w:val="Doc-text2"/>
        <w:tabs>
          <w:tab w:val="left" w:pos="340"/>
        </w:tabs>
        <w:spacing w:before="120" w:after="120"/>
        <w:ind w:left="0" w:firstLine="0"/>
        <w:jc w:val="both"/>
        <w:rPr>
          <w:sz w:val="22"/>
          <w:szCs w:val="22"/>
        </w:rPr>
      </w:pPr>
      <w:r w:rsidRPr="005F39AD">
        <w:rPr>
          <w:sz w:val="22"/>
          <w:szCs w:val="22"/>
        </w:rPr>
        <w:t xml:space="preserve">Although separate DRX configuration can be provided for MCG and SCG, DRX coordination between MeNB and SgNB is needed. Certain alignment on DRX configuration between MCG and SCG is beneficial to UE power consumption. </w:t>
      </w:r>
      <w:r w:rsidR="00222258" w:rsidRPr="005F39AD">
        <w:rPr>
          <w:sz w:val="22"/>
          <w:szCs w:val="22"/>
        </w:rPr>
        <w:t xml:space="preserve">In this contribution, </w:t>
      </w:r>
      <w:r w:rsidRPr="005F39AD">
        <w:rPr>
          <w:sz w:val="22"/>
          <w:szCs w:val="22"/>
        </w:rPr>
        <w:t>we provide the evaluation on UE power consumption with different DRX configuration assumptions and propose</w:t>
      </w:r>
      <w:r w:rsidR="00AC78F5" w:rsidRPr="005F39AD">
        <w:rPr>
          <w:sz w:val="22"/>
          <w:szCs w:val="22"/>
        </w:rPr>
        <w:t xml:space="preserve"> </w:t>
      </w:r>
      <w:r w:rsidR="005F39AD" w:rsidRPr="005F39AD">
        <w:rPr>
          <w:sz w:val="22"/>
          <w:szCs w:val="22"/>
        </w:rPr>
        <w:t xml:space="preserve">that the </w:t>
      </w:r>
      <w:r w:rsidR="00C34A84">
        <w:rPr>
          <w:sz w:val="22"/>
          <w:szCs w:val="22"/>
        </w:rPr>
        <w:t>Active time</w:t>
      </w:r>
      <w:r w:rsidR="005F39AD" w:rsidRPr="005F39AD">
        <w:rPr>
          <w:sz w:val="22"/>
          <w:szCs w:val="22"/>
        </w:rPr>
        <w:t xml:space="preserve"> of the DRX cycle for MCG and SCG should be overlapped. </w:t>
      </w:r>
    </w:p>
    <w:p w:rsidR="004F1922" w:rsidRDefault="008C6AB3" w:rsidP="00AC78F5">
      <w:pPr>
        <w:pStyle w:val="Heading1"/>
        <w:rPr>
          <w:lang w:val="en-US" w:eastAsia="ko-KR"/>
        </w:rPr>
      </w:pPr>
      <w:r>
        <w:rPr>
          <w:lang w:val="en-US" w:eastAsia="ko-KR"/>
        </w:rPr>
        <w:t xml:space="preserve">2 </w:t>
      </w:r>
      <w:r w:rsidR="004F1922">
        <w:rPr>
          <w:lang w:val="en-US" w:eastAsia="ko-KR"/>
        </w:rPr>
        <w:t>Discussion</w:t>
      </w:r>
    </w:p>
    <w:p w:rsidR="00AC78F5" w:rsidRPr="004F1922" w:rsidRDefault="004F1922" w:rsidP="004F1922">
      <w:pPr>
        <w:jc w:val="both"/>
        <w:rPr>
          <w:rFonts w:ascii="Arial" w:eastAsia="SimSun" w:hAnsi="Arial" w:cs="Arial"/>
          <w:sz w:val="28"/>
          <w:lang w:eastAsia="ja-JP"/>
        </w:rPr>
      </w:pPr>
      <w:r w:rsidRPr="004F1922">
        <w:rPr>
          <w:rFonts w:ascii="Arial" w:eastAsia="SimSun" w:hAnsi="Arial" w:cs="Arial"/>
          <w:sz w:val="28"/>
          <w:lang w:eastAsia="ja-JP"/>
        </w:rPr>
        <w:t xml:space="preserve">2.1 </w:t>
      </w:r>
      <w:r w:rsidR="005F39AD"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CC49E0" w:rsidRDefault="00CC49E0" w:rsidP="00CC49E0">
      <w:pPr>
        <w:pStyle w:val="Doc-text2"/>
        <w:tabs>
          <w:tab w:val="left" w:pos="340"/>
        </w:tabs>
        <w:spacing w:before="120" w:after="120"/>
        <w:ind w:left="0" w:firstLine="0"/>
        <w:jc w:val="both"/>
        <w:rPr>
          <w:sz w:val="22"/>
          <w:szCs w:val="22"/>
        </w:rPr>
      </w:pPr>
      <w:r w:rsidRPr="00CC49E0">
        <w:rPr>
          <w:sz w:val="22"/>
          <w:szCs w:val="22"/>
        </w:rPr>
        <w:t xml:space="preserve">For EN-DC, certain hardware may be shared by UE implementation for LTE and NR to reduce the cost. </w:t>
      </w:r>
      <w:r>
        <w:rPr>
          <w:sz w:val="22"/>
          <w:szCs w:val="22"/>
        </w:rPr>
        <w:t xml:space="preserve">In this section, we give the numerical analysis for different alignment of DRX configuration between MCG and SCG based on the experimental data, assuming </w:t>
      </w:r>
      <w:r w:rsidR="00C34A84">
        <w:rPr>
          <w:sz w:val="22"/>
          <w:szCs w:val="22"/>
        </w:rPr>
        <w:t xml:space="preserve">a </w:t>
      </w:r>
      <w:r>
        <w:rPr>
          <w:sz w:val="22"/>
          <w:szCs w:val="22"/>
        </w:rPr>
        <w:t xml:space="preserve">sub-6 carrier is used for NR.  </w:t>
      </w:r>
    </w:p>
    <w:p w:rsidR="00B64647" w:rsidRDefault="00B64647" w:rsidP="00CC49E0">
      <w:pPr>
        <w:pStyle w:val="Doc-text2"/>
        <w:tabs>
          <w:tab w:val="left" w:pos="340"/>
        </w:tabs>
        <w:spacing w:before="120" w:after="120"/>
        <w:ind w:left="0" w:firstLine="0"/>
        <w:jc w:val="both"/>
        <w:rPr>
          <w:sz w:val="22"/>
          <w:szCs w:val="22"/>
        </w:rPr>
      </w:pPr>
      <w:r>
        <w:rPr>
          <w:sz w:val="22"/>
          <w:szCs w:val="22"/>
        </w:rPr>
        <w:t xml:space="preserve">UE power consumption is calculated based on </w:t>
      </w:r>
      <w:r w:rsidR="00C34A84">
        <w:rPr>
          <w:sz w:val="22"/>
          <w:szCs w:val="22"/>
        </w:rPr>
        <w:t>the</w:t>
      </w:r>
      <w:r>
        <w:rPr>
          <w:sz w:val="22"/>
          <w:szCs w:val="22"/>
        </w:rPr>
        <w:t xml:space="preserve"> model</w:t>
      </w:r>
      <w:r w:rsidR="00C34A84">
        <w:rPr>
          <w:sz w:val="22"/>
          <w:szCs w:val="22"/>
        </w:rPr>
        <w:t xml:space="preserve"> below</w:t>
      </w:r>
      <w:r>
        <w:rPr>
          <w:sz w:val="22"/>
          <w:szCs w:val="22"/>
        </w:rPr>
        <w:t xml:space="preserve"> with different power state. </w:t>
      </w:r>
      <w:r w:rsidR="001B6495">
        <w:rPr>
          <w:sz w:val="22"/>
          <w:szCs w:val="22"/>
        </w:rPr>
        <w:t xml:space="preserve">It should be noted that UE transmission power is not considered, and we </w:t>
      </w:r>
      <w:r w:rsidR="00C34A84">
        <w:rPr>
          <w:sz w:val="22"/>
          <w:szCs w:val="22"/>
        </w:rPr>
        <w:t xml:space="preserve">only </w:t>
      </w:r>
      <w:r w:rsidR="001B6495">
        <w:rPr>
          <w:sz w:val="22"/>
          <w:szCs w:val="22"/>
        </w:rPr>
        <w:t xml:space="preserve">concern the UE power consumption for DL reception due to different DRX configuration. </w:t>
      </w:r>
      <w:r w:rsidR="004F1922">
        <w:rPr>
          <w:sz w:val="22"/>
          <w:szCs w:val="22"/>
        </w:rPr>
        <w:t xml:space="preserve"> </w:t>
      </w:r>
    </w:p>
    <w:p w:rsidR="00B64647" w:rsidRDefault="00E7387E" w:rsidP="001B6495">
      <w:pPr>
        <w:pStyle w:val="Doc-text2"/>
        <w:tabs>
          <w:tab w:val="left" w:pos="340"/>
        </w:tabs>
        <w:spacing w:before="120" w:after="120"/>
        <w:ind w:left="0" w:firstLine="0"/>
        <w:jc w:val="center"/>
      </w:pPr>
      <w:r w:rsidRPr="00EE3D56">
        <w:object w:dxaOrig="7140"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50.9pt" o:ole="">
            <v:imagedata r:id="rId7" o:title=""/>
          </v:shape>
          <o:OLEObject Type="Embed" ProgID="Visio.Drawing.15" ShapeID="_x0000_i1025" DrawAspect="Content" ObjectID="_1577786610" r:id="rId8"/>
        </w:object>
      </w:r>
    </w:p>
    <w:p w:rsidR="001B6495" w:rsidRPr="00744154" w:rsidRDefault="001B6495" w:rsidP="001B6495">
      <w:pPr>
        <w:pStyle w:val="Doc-text2"/>
        <w:tabs>
          <w:tab w:val="left" w:pos="340"/>
        </w:tabs>
        <w:spacing w:before="120" w:after="120"/>
        <w:ind w:left="0" w:firstLine="0"/>
        <w:jc w:val="center"/>
        <w:rPr>
          <w:b/>
          <w:sz w:val="22"/>
          <w:szCs w:val="22"/>
        </w:rPr>
      </w:pPr>
      <w:r w:rsidRPr="00744154">
        <w:rPr>
          <w:b/>
        </w:rPr>
        <w:t>Figure 1 Model with Different Power States</w:t>
      </w:r>
    </w:p>
    <w:p w:rsidR="00CC49E0" w:rsidRDefault="004F1922" w:rsidP="00CC49E0">
      <w:pPr>
        <w:pStyle w:val="Doc-text2"/>
        <w:tabs>
          <w:tab w:val="left" w:pos="340"/>
        </w:tabs>
        <w:spacing w:before="120" w:after="120"/>
        <w:ind w:left="0" w:firstLine="0"/>
        <w:jc w:val="both"/>
        <w:rPr>
          <w:sz w:val="22"/>
          <w:szCs w:val="22"/>
        </w:rPr>
      </w:pPr>
      <w:r>
        <w:rPr>
          <w:sz w:val="22"/>
          <w:szCs w:val="22"/>
        </w:rPr>
        <w:t>Before each On-duration, UE need to wake up earlier for pre-scheduling and pre-sync, which will endure</w:t>
      </w:r>
      <w:r w:rsidR="00C34A84">
        <w:rPr>
          <w:sz w:val="22"/>
          <w:szCs w:val="22"/>
        </w:rPr>
        <w:t xml:space="preserve"> 1~2ms. At end of Active time, UE need to stay awake for a period of timer for post-processing. The power consumption due to</w:t>
      </w:r>
      <w:r>
        <w:rPr>
          <w:sz w:val="22"/>
          <w:szCs w:val="22"/>
        </w:rPr>
        <w:t xml:space="preserve"> pre</w:t>
      </w:r>
      <w:r w:rsidR="00C34A84">
        <w:rPr>
          <w:sz w:val="22"/>
          <w:szCs w:val="22"/>
        </w:rPr>
        <w:t>-scheduling/</w:t>
      </w:r>
      <w:r>
        <w:rPr>
          <w:sz w:val="22"/>
          <w:szCs w:val="22"/>
        </w:rPr>
        <w:t>pre-sync</w:t>
      </w:r>
      <w:r w:rsidR="00C34A84">
        <w:rPr>
          <w:sz w:val="22"/>
          <w:szCs w:val="22"/>
        </w:rPr>
        <w:t xml:space="preserve"> and post-processing</w:t>
      </w:r>
      <w:r>
        <w:rPr>
          <w:sz w:val="22"/>
          <w:szCs w:val="22"/>
        </w:rPr>
        <w:t xml:space="preserve"> should be considered. </w:t>
      </w:r>
    </w:p>
    <w:p w:rsidR="004F1922" w:rsidRDefault="004F1922" w:rsidP="00CC49E0">
      <w:pPr>
        <w:pStyle w:val="Doc-text2"/>
        <w:tabs>
          <w:tab w:val="left" w:pos="340"/>
        </w:tabs>
        <w:spacing w:before="120" w:after="120"/>
        <w:ind w:left="0" w:firstLine="0"/>
        <w:jc w:val="both"/>
        <w:rPr>
          <w:b/>
          <w:sz w:val="22"/>
          <w:szCs w:val="22"/>
        </w:rPr>
      </w:pPr>
      <w:r w:rsidRPr="004F1922">
        <w:rPr>
          <w:b/>
          <w:sz w:val="22"/>
          <w:szCs w:val="22"/>
        </w:rPr>
        <w:t xml:space="preserve">Observation 1: UE need to wake up earlier for pre-scheduling and pre-sync for each On-duration and stay awake for a while for post-processing at the end of Active time. </w:t>
      </w:r>
    </w:p>
    <w:p w:rsidR="00E7387E" w:rsidRDefault="00E7387E" w:rsidP="00E7387E">
      <w:pPr>
        <w:jc w:val="both"/>
        <w:rPr>
          <w:rFonts w:ascii="Arial" w:eastAsia="SimSun" w:hAnsi="Arial" w:cs="Arial"/>
          <w:sz w:val="28"/>
          <w:lang w:eastAsia="ja-JP"/>
        </w:rPr>
      </w:pPr>
      <w:r w:rsidRPr="00E7387E">
        <w:rPr>
          <w:rFonts w:ascii="Arial" w:eastAsia="SimSun" w:hAnsi="Arial" w:cs="Arial"/>
          <w:sz w:val="28"/>
          <w:lang w:eastAsia="ja-JP"/>
        </w:rPr>
        <w:t>2.2. UE power consumption with different DRX configuration</w:t>
      </w:r>
    </w:p>
    <w:p w:rsidR="00E7387E" w:rsidRDefault="00E7387E" w:rsidP="00E7387E">
      <w:pPr>
        <w:pStyle w:val="Doc-text2"/>
        <w:tabs>
          <w:tab w:val="left" w:pos="340"/>
        </w:tabs>
        <w:spacing w:before="120" w:after="120"/>
        <w:ind w:left="0" w:firstLine="0"/>
        <w:jc w:val="both"/>
        <w:rPr>
          <w:sz w:val="22"/>
          <w:szCs w:val="22"/>
        </w:rPr>
      </w:pPr>
      <w:r w:rsidRPr="00E7387E">
        <w:rPr>
          <w:sz w:val="22"/>
          <w:szCs w:val="22"/>
        </w:rPr>
        <w:t>Two cases are considered</w:t>
      </w:r>
      <w:r w:rsidR="00647986">
        <w:rPr>
          <w:sz w:val="22"/>
          <w:szCs w:val="22"/>
        </w:rPr>
        <w:t xml:space="preserve"> for power consumption: </w:t>
      </w:r>
    </w:p>
    <w:p w:rsidR="00647986" w:rsidRDefault="00647986" w:rsidP="00647986">
      <w:pPr>
        <w:pStyle w:val="Doc-text2"/>
        <w:numPr>
          <w:ilvl w:val="0"/>
          <w:numId w:val="40"/>
        </w:numPr>
        <w:tabs>
          <w:tab w:val="left" w:pos="340"/>
        </w:tabs>
        <w:spacing w:before="120" w:after="120"/>
        <w:jc w:val="both"/>
        <w:rPr>
          <w:sz w:val="22"/>
          <w:szCs w:val="22"/>
        </w:rPr>
      </w:pPr>
      <w:r>
        <w:rPr>
          <w:sz w:val="22"/>
          <w:szCs w:val="22"/>
        </w:rPr>
        <w:lastRenderedPageBreak/>
        <w:t>Case 1: On-duration of the DRX cycles for MCG and SCG are not aligned. (Figure 2.1)</w:t>
      </w:r>
    </w:p>
    <w:p w:rsidR="00647986" w:rsidRDefault="00647986" w:rsidP="00647986">
      <w:pPr>
        <w:pStyle w:val="Doc-text2"/>
        <w:numPr>
          <w:ilvl w:val="0"/>
          <w:numId w:val="40"/>
        </w:numPr>
        <w:tabs>
          <w:tab w:val="left" w:pos="340"/>
        </w:tabs>
        <w:spacing w:before="120" w:after="120"/>
        <w:jc w:val="both"/>
        <w:rPr>
          <w:sz w:val="22"/>
          <w:szCs w:val="22"/>
        </w:rPr>
      </w:pPr>
      <w:r>
        <w:rPr>
          <w:sz w:val="22"/>
          <w:szCs w:val="22"/>
        </w:rPr>
        <w:t>Case 2: On-duration of the DRX cycles for MCG and SCG are aligned. (Figure 2.2)</w:t>
      </w:r>
    </w:p>
    <w:p w:rsidR="00647986" w:rsidRDefault="00647986" w:rsidP="00647986">
      <w:pPr>
        <w:pStyle w:val="Doc-text2"/>
        <w:tabs>
          <w:tab w:val="left" w:pos="340"/>
        </w:tabs>
        <w:spacing w:before="120" w:after="120"/>
        <w:ind w:left="720" w:firstLine="0"/>
        <w:jc w:val="both"/>
        <w:rPr>
          <w:sz w:val="22"/>
          <w:szCs w:val="22"/>
        </w:rPr>
      </w:pPr>
    </w:p>
    <w:p w:rsidR="00647986" w:rsidRDefault="00647986" w:rsidP="00432C07">
      <w:pPr>
        <w:pStyle w:val="Doc-text2"/>
        <w:tabs>
          <w:tab w:val="left" w:pos="340"/>
        </w:tabs>
        <w:spacing w:before="120" w:after="120"/>
        <w:ind w:left="360" w:firstLine="0"/>
        <w:jc w:val="center"/>
        <w:rPr>
          <w:sz w:val="22"/>
          <w:szCs w:val="22"/>
        </w:rPr>
      </w:pPr>
      <w:r w:rsidRPr="00647986">
        <w:rPr>
          <w:noProof/>
          <w:sz w:val="22"/>
          <w:szCs w:val="22"/>
          <w:lang w:eastAsia="zh-CN"/>
        </w:rPr>
        <w:drawing>
          <wp:inline distT="0" distB="0" distL="0" distR="0" wp14:anchorId="4A743DBD" wp14:editId="5E1DCA5A">
            <wp:extent cx="5372100" cy="2596213"/>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5380701" cy="2600370"/>
                    </a:xfrm>
                    <a:prstGeom prst="rect">
                      <a:avLst/>
                    </a:prstGeom>
                  </pic:spPr>
                </pic:pic>
              </a:graphicData>
            </a:graphic>
          </wp:inline>
        </w:drawing>
      </w:r>
    </w:p>
    <w:p w:rsidR="00647986" w:rsidRPr="00744154" w:rsidRDefault="00647986" w:rsidP="00647986">
      <w:pPr>
        <w:pStyle w:val="Doc-text2"/>
        <w:tabs>
          <w:tab w:val="left" w:pos="340"/>
        </w:tabs>
        <w:spacing w:before="120" w:after="120"/>
        <w:ind w:left="360" w:firstLine="0"/>
        <w:jc w:val="center"/>
        <w:rPr>
          <w:b/>
          <w:sz w:val="22"/>
          <w:szCs w:val="22"/>
        </w:rPr>
      </w:pPr>
      <w:r w:rsidRPr="00744154">
        <w:rPr>
          <w:b/>
          <w:sz w:val="22"/>
          <w:szCs w:val="22"/>
        </w:rPr>
        <w:t xml:space="preserve">Figure 2.1 </w:t>
      </w:r>
      <w:r w:rsidR="00744154">
        <w:rPr>
          <w:b/>
          <w:sz w:val="22"/>
          <w:szCs w:val="22"/>
        </w:rPr>
        <w:t>Case 1</w:t>
      </w:r>
    </w:p>
    <w:p w:rsidR="00647986" w:rsidRDefault="00647986" w:rsidP="00647986">
      <w:pPr>
        <w:pStyle w:val="Doc-text2"/>
        <w:tabs>
          <w:tab w:val="left" w:pos="340"/>
        </w:tabs>
        <w:spacing w:before="120" w:after="120"/>
        <w:ind w:left="720" w:firstLine="0"/>
        <w:jc w:val="center"/>
        <w:rPr>
          <w:sz w:val="22"/>
          <w:szCs w:val="22"/>
        </w:rPr>
      </w:pPr>
      <w:r w:rsidRPr="00647986">
        <w:rPr>
          <w:noProof/>
          <w:sz w:val="22"/>
          <w:szCs w:val="22"/>
          <w:lang w:eastAsia="zh-CN"/>
        </w:rPr>
        <w:drawing>
          <wp:inline distT="0" distB="0" distL="0" distR="0" wp14:anchorId="03D0E89C" wp14:editId="00786345">
            <wp:extent cx="5507665" cy="2946222"/>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5532242" cy="2959369"/>
                    </a:xfrm>
                    <a:prstGeom prst="rect">
                      <a:avLst/>
                    </a:prstGeom>
                  </pic:spPr>
                </pic:pic>
              </a:graphicData>
            </a:graphic>
          </wp:inline>
        </w:drawing>
      </w:r>
    </w:p>
    <w:p w:rsidR="00744154" w:rsidRDefault="00744154" w:rsidP="00744154">
      <w:pPr>
        <w:pStyle w:val="Doc-text2"/>
        <w:tabs>
          <w:tab w:val="left" w:pos="340"/>
        </w:tabs>
        <w:spacing w:before="120" w:after="120"/>
        <w:ind w:left="360" w:firstLine="0"/>
        <w:jc w:val="center"/>
        <w:rPr>
          <w:b/>
          <w:sz w:val="22"/>
          <w:szCs w:val="22"/>
        </w:rPr>
      </w:pPr>
      <w:r w:rsidRPr="00744154">
        <w:rPr>
          <w:b/>
          <w:sz w:val="22"/>
          <w:szCs w:val="22"/>
        </w:rPr>
        <w:t xml:space="preserve">Figure 2.2 </w:t>
      </w:r>
      <w:r>
        <w:rPr>
          <w:b/>
          <w:sz w:val="22"/>
          <w:szCs w:val="22"/>
        </w:rPr>
        <w:t>Case 2</w:t>
      </w:r>
    </w:p>
    <w:p w:rsidR="00DA47D7" w:rsidRDefault="00744154" w:rsidP="00DA47D7">
      <w:pPr>
        <w:pStyle w:val="Doc-text2"/>
        <w:tabs>
          <w:tab w:val="left" w:pos="340"/>
        </w:tabs>
        <w:spacing w:before="120" w:after="120"/>
        <w:ind w:left="360" w:firstLine="0"/>
        <w:jc w:val="center"/>
        <w:rPr>
          <w:b/>
          <w:sz w:val="22"/>
          <w:szCs w:val="22"/>
        </w:rPr>
      </w:pPr>
      <w:r>
        <w:rPr>
          <w:b/>
          <w:sz w:val="22"/>
          <w:szCs w:val="22"/>
        </w:rPr>
        <w:t>Figure 2 DRX Configuration w/o On-duration Alignment</w:t>
      </w:r>
    </w:p>
    <w:p w:rsidR="00DA47D7" w:rsidRPr="007D0157" w:rsidRDefault="00DA47D7" w:rsidP="007D0157">
      <w:pPr>
        <w:pStyle w:val="Doc-text2"/>
        <w:tabs>
          <w:tab w:val="left" w:pos="340"/>
        </w:tabs>
        <w:spacing w:before="120" w:after="120"/>
        <w:ind w:left="0" w:firstLine="0"/>
        <w:jc w:val="both"/>
        <w:rPr>
          <w:sz w:val="22"/>
          <w:szCs w:val="22"/>
        </w:rPr>
      </w:pPr>
      <w:r w:rsidRPr="007D0157">
        <w:rPr>
          <w:sz w:val="22"/>
          <w:szCs w:val="22"/>
        </w:rPr>
        <w:t xml:space="preserve">It should </w:t>
      </w:r>
      <w:r w:rsidR="006132B2" w:rsidRPr="007D0157">
        <w:rPr>
          <w:sz w:val="22"/>
          <w:szCs w:val="22"/>
        </w:rPr>
        <w:t xml:space="preserve">be noted that UE power consumption for RRM measurement on NR serving cell will be impacted by the SMTC configuration as well as its timing location related to </w:t>
      </w:r>
      <w:r w:rsidR="00FF5A47" w:rsidRPr="007D0157">
        <w:rPr>
          <w:sz w:val="22"/>
          <w:szCs w:val="22"/>
        </w:rPr>
        <w:t xml:space="preserve">the DRX cycle.  In the optimal case for UE power consumption, SMTC is aligned with the Active time of the </w:t>
      </w:r>
      <w:r w:rsidR="00C34A84">
        <w:rPr>
          <w:sz w:val="22"/>
          <w:szCs w:val="22"/>
        </w:rPr>
        <w:t xml:space="preserve">SCG </w:t>
      </w:r>
      <w:r w:rsidR="00FF5A47" w:rsidRPr="007D0157">
        <w:rPr>
          <w:sz w:val="22"/>
          <w:szCs w:val="22"/>
        </w:rPr>
        <w:t xml:space="preserve">DRX cycle.  In order to minimize the impact of SMTC configuration and illustrate the benefit of DRX coordination between MCG and SCG, </w:t>
      </w:r>
      <w:r w:rsidR="007D0157" w:rsidRPr="007D0157">
        <w:rPr>
          <w:sz w:val="22"/>
          <w:szCs w:val="22"/>
        </w:rPr>
        <w:t xml:space="preserve">we consider the scenario that the occasion of SMTC and DRX on-duration is aligned. </w:t>
      </w:r>
    </w:p>
    <w:p w:rsidR="00FD1CA0" w:rsidRDefault="00FD1CA0" w:rsidP="00FD1CA0">
      <w:pPr>
        <w:pStyle w:val="Doc-text2"/>
        <w:tabs>
          <w:tab w:val="left" w:pos="340"/>
        </w:tabs>
        <w:spacing w:before="120" w:after="120"/>
        <w:ind w:left="0" w:firstLine="0"/>
        <w:jc w:val="both"/>
        <w:rPr>
          <w:sz w:val="22"/>
          <w:szCs w:val="22"/>
        </w:rPr>
      </w:pPr>
      <w:r w:rsidRPr="00FD1CA0">
        <w:rPr>
          <w:sz w:val="22"/>
          <w:szCs w:val="22"/>
        </w:rPr>
        <w:t xml:space="preserve">For both of cases, UE power consumption </w:t>
      </w:r>
      <w:r>
        <w:rPr>
          <w:sz w:val="22"/>
          <w:szCs w:val="22"/>
        </w:rPr>
        <w:t xml:space="preserve">with different DRX cycles are calculated assuming the length of On-duration is 4ms for both MCG and SCG. </w:t>
      </w:r>
    </w:p>
    <w:p w:rsidR="00FD1CA0" w:rsidRDefault="00FD1CA0" w:rsidP="00FD1CA0">
      <w:pPr>
        <w:pStyle w:val="Doc-text2"/>
        <w:numPr>
          <w:ilvl w:val="0"/>
          <w:numId w:val="41"/>
        </w:numPr>
        <w:tabs>
          <w:tab w:val="left" w:pos="340"/>
        </w:tabs>
        <w:spacing w:before="120" w:after="120"/>
        <w:jc w:val="both"/>
        <w:rPr>
          <w:sz w:val="22"/>
          <w:szCs w:val="22"/>
        </w:rPr>
      </w:pPr>
      <w:r>
        <w:rPr>
          <w:sz w:val="22"/>
          <w:szCs w:val="22"/>
        </w:rPr>
        <w:t>Configuration 1: DRX cycle=20 ms</w:t>
      </w:r>
    </w:p>
    <w:p w:rsidR="00FD1CA0" w:rsidRDefault="0024505A" w:rsidP="00FD1CA0">
      <w:pPr>
        <w:pStyle w:val="Doc-text2"/>
        <w:numPr>
          <w:ilvl w:val="0"/>
          <w:numId w:val="41"/>
        </w:numPr>
        <w:tabs>
          <w:tab w:val="left" w:pos="340"/>
        </w:tabs>
        <w:spacing w:before="120" w:after="120"/>
        <w:jc w:val="both"/>
        <w:rPr>
          <w:sz w:val="22"/>
          <w:szCs w:val="22"/>
        </w:rPr>
      </w:pPr>
      <w:r>
        <w:rPr>
          <w:sz w:val="22"/>
          <w:szCs w:val="22"/>
        </w:rPr>
        <w:t>Configuration 2: DRX cycle=</w:t>
      </w:r>
      <w:r w:rsidRPr="0024505A">
        <w:rPr>
          <w:color w:val="000000" w:themeColor="text1"/>
          <w:sz w:val="22"/>
          <w:szCs w:val="22"/>
        </w:rPr>
        <w:t>40</w:t>
      </w:r>
      <w:r>
        <w:rPr>
          <w:rFonts w:ascii="PMingLiU" w:eastAsia="PMingLiU" w:hAnsi="PMingLiU" w:hint="eastAsia"/>
          <w:sz w:val="22"/>
          <w:szCs w:val="22"/>
        </w:rPr>
        <w:t xml:space="preserve"> </w:t>
      </w:r>
      <w:r w:rsidR="00FD1CA0">
        <w:rPr>
          <w:sz w:val="22"/>
          <w:szCs w:val="22"/>
        </w:rPr>
        <w:t>ms</w:t>
      </w:r>
    </w:p>
    <w:p w:rsidR="00FD1CA0" w:rsidRDefault="00FD1CA0" w:rsidP="00FD1CA0">
      <w:pPr>
        <w:pStyle w:val="Doc-text2"/>
        <w:numPr>
          <w:ilvl w:val="0"/>
          <w:numId w:val="41"/>
        </w:numPr>
        <w:tabs>
          <w:tab w:val="left" w:pos="340"/>
        </w:tabs>
        <w:spacing w:before="120" w:after="120"/>
        <w:jc w:val="both"/>
        <w:rPr>
          <w:sz w:val="22"/>
          <w:szCs w:val="22"/>
        </w:rPr>
      </w:pPr>
      <w:r>
        <w:rPr>
          <w:sz w:val="22"/>
          <w:szCs w:val="22"/>
        </w:rPr>
        <w:t>Configuration 3: DRX cycle=128</w:t>
      </w:r>
      <w:r w:rsidR="0024505A">
        <w:rPr>
          <w:rFonts w:ascii="PMingLiU" w:eastAsia="PMingLiU" w:hAnsi="PMingLiU" w:hint="eastAsia"/>
          <w:sz w:val="22"/>
          <w:szCs w:val="22"/>
        </w:rPr>
        <w:t xml:space="preserve"> </w:t>
      </w:r>
      <w:r>
        <w:rPr>
          <w:sz w:val="22"/>
          <w:szCs w:val="22"/>
        </w:rPr>
        <w:t>ms</w:t>
      </w:r>
    </w:p>
    <w:p w:rsidR="00744154" w:rsidRDefault="007D0157" w:rsidP="00FD1CA0">
      <w:pPr>
        <w:pStyle w:val="Doc-text2"/>
        <w:tabs>
          <w:tab w:val="left" w:pos="340"/>
        </w:tabs>
        <w:spacing w:before="120" w:after="120"/>
        <w:ind w:left="0" w:firstLine="0"/>
        <w:rPr>
          <w:sz w:val="22"/>
          <w:szCs w:val="22"/>
        </w:rPr>
      </w:pPr>
      <w:r>
        <w:rPr>
          <w:sz w:val="22"/>
          <w:szCs w:val="22"/>
        </w:rPr>
        <w:t>UE</w:t>
      </w:r>
      <w:r w:rsidR="00FD1CA0">
        <w:rPr>
          <w:sz w:val="22"/>
          <w:szCs w:val="22"/>
        </w:rPr>
        <w:t xml:space="preserve"> power consumption</w:t>
      </w:r>
      <w:r>
        <w:rPr>
          <w:sz w:val="22"/>
          <w:szCs w:val="22"/>
        </w:rPr>
        <w:t xml:space="preserve"> for case 1 and case2 with different DRX </w:t>
      </w:r>
      <w:r w:rsidR="0018308E">
        <w:rPr>
          <w:sz w:val="22"/>
          <w:szCs w:val="22"/>
        </w:rPr>
        <w:t>cycles are evaluated in Table 1.</w:t>
      </w:r>
      <w:r w:rsidR="00414915">
        <w:rPr>
          <w:sz w:val="22"/>
          <w:szCs w:val="22"/>
        </w:rPr>
        <w:t>The detailed parameters and calculation me</w:t>
      </w:r>
      <w:r w:rsidR="0018308E">
        <w:rPr>
          <w:sz w:val="22"/>
          <w:szCs w:val="22"/>
        </w:rPr>
        <w:t xml:space="preserve">thod is explained in the Annex. The time duration is 640ms. </w:t>
      </w:r>
    </w:p>
    <w:p w:rsidR="002D4E17" w:rsidRDefault="002D4E17" w:rsidP="00FD1CA0">
      <w:pPr>
        <w:pStyle w:val="Doc-text2"/>
        <w:tabs>
          <w:tab w:val="left" w:pos="340"/>
        </w:tabs>
        <w:spacing w:before="120" w:after="120"/>
        <w:ind w:left="0" w:firstLine="0"/>
        <w:rPr>
          <w:sz w:val="22"/>
          <w:szCs w:val="22"/>
        </w:rPr>
      </w:pPr>
    </w:p>
    <w:p w:rsidR="00ED4D2F" w:rsidRPr="00ED4D2F" w:rsidRDefault="00ED4D2F" w:rsidP="00ED4D2F">
      <w:pPr>
        <w:pStyle w:val="Doc-text2"/>
        <w:tabs>
          <w:tab w:val="left" w:pos="340"/>
        </w:tabs>
        <w:spacing w:before="120" w:after="120"/>
        <w:ind w:left="0" w:firstLine="0"/>
        <w:jc w:val="center"/>
        <w:rPr>
          <w:b/>
          <w:sz w:val="22"/>
          <w:szCs w:val="22"/>
        </w:rPr>
      </w:pPr>
      <w:r w:rsidRPr="00ED4D2F">
        <w:rPr>
          <w:b/>
          <w:sz w:val="22"/>
          <w:szCs w:val="22"/>
        </w:rPr>
        <w:lastRenderedPageBreak/>
        <w:t>Table 1 Power Consumption Comparison between Case1 and Case 2</w:t>
      </w:r>
    </w:p>
    <w:tbl>
      <w:tblPr>
        <w:tblStyle w:val="TableGrid"/>
        <w:tblW w:w="0" w:type="auto"/>
        <w:jc w:val="center"/>
        <w:tblLook w:val="04A0" w:firstRow="1" w:lastRow="0" w:firstColumn="1" w:lastColumn="0" w:noHBand="0" w:noVBand="1"/>
      </w:tblPr>
      <w:tblGrid>
        <w:gridCol w:w="1795"/>
        <w:gridCol w:w="1980"/>
        <w:gridCol w:w="3060"/>
        <w:gridCol w:w="2902"/>
      </w:tblGrid>
      <w:tr w:rsidR="007D0157" w:rsidTr="00B83FDF">
        <w:trPr>
          <w:trHeight w:val="494"/>
          <w:jc w:val="center"/>
        </w:trPr>
        <w:tc>
          <w:tcPr>
            <w:tcW w:w="1795" w:type="dxa"/>
          </w:tcPr>
          <w:p w:rsidR="007D0157" w:rsidRDefault="007D0157" w:rsidP="00647986">
            <w:pPr>
              <w:pStyle w:val="Doc-text2"/>
              <w:tabs>
                <w:tab w:val="left" w:pos="340"/>
              </w:tabs>
              <w:spacing w:before="120" w:after="120"/>
              <w:ind w:left="0" w:firstLine="0"/>
              <w:jc w:val="center"/>
              <w:rPr>
                <w:sz w:val="22"/>
                <w:szCs w:val="22"/>
              </w:rPr>
            </w:pPr>
          </w:p>
        </w:tc>
        <w:tc>
          <w:tcPr>
            <w:tcW w:w="5040" w:type="dxa"/>
            <w:gridSpan w:val="2"/>
          </w:tcPr>
          <w:p w:rsidR="007D0157" w:rsidRPr="00ED4D2F" w:rsidRDefault="00B83FDF" w:rsidP="00B83FDF">
            <w:pPr>
              <w:pStyle w:val="Doc-text2"/>
              <w:tabs>
                <w:tab w:val="left" w:pos="340"/>
                <w:tab w:val="center" w:pos="2659"/>
                <w:tab w:val="right" w:pos="5319"/>
              </w:tabs>
              <w:spacing w:before="120" w:after="120"/>
              <w:ind w:left="0" w:firstLine="0"/>
              <w:rPr>
                <w:rFonts w:eastAsiaTheme="minorEastAsia"/>
                <w:sz w:val="22"/>
                <w:szCs w:val="22"/>
                <w:lang w:eastAsia="zh-CN"/>
              </w:rPr>
            </w:pPr>
            <w:r>
              <w:rPr>
                <w:sz w:val="22"/>
                <w:szCs w:val="22"/>
              </w:rPr>
              <w:tab/>
            </w:r>
            <w:r>
              <w:rPr>
                <w:sz w:val="22"/>
                <w:szCs w:val="22"/>
              </w:rPr>
              <w:tab/>
            </w:r>
            <w:r w:rsidR="007D0157">
              <w:rPr>
                <w:sz w:val="22"/>
                <w:szCs w:val="22"/>
              </w:rPr>
              <w:t>Power Consumption</w:t>
            </w:r>
            <w:r w:rsidR="00ED4D2F">
              <w:rPr>
                <w:rFonts w:eastAsiaTheme="minorEastAsia" w:hint="eastAsia"/>
                <w:sz w:val="22"/>
                <w:szCs w:val="22"/>
                <w:lang w:eastAsia="zh-CN"/>
              </w:rPr>
              <w:t>（</w:t>
            </w:r>
            <w:r w:rsidR="00ED4D2F">
              <w:rPr>
                <w:rFonts w:eastAsiaTheme="minorEastAsia" w:hint="eastAsia"/>
                <w:sz w:val="22"/>
                <w:szCs w:val="22"/>
                <w:lang w:eastAsia="zh-CN"/>
              </w:rPr>
              <w:t>mA</w:t>
            </w:r>
            <w:r w:rsidR="00ED4D2F">
              <w:rPr>
                <w:rFonts w:eastAsiaTheme="minorEastAsia"/>
                <w:sz w:val="22"/>
                <w:szCs w:val="22"/>
                <w:lang w:eastAsia="zh-CN"/>
              </w:rPr>
              <w:t>）</w:t>
            </w:r>
            <w:r>
              <w:rPr>
                <w:rFonts w:eastAsiaTheme="minorEastAsia"/>
                <w:sz w:val="22"/>
                <w:szCs w:val="22"/>
                <w:lang w:eastAsia="zh-CN"/>
              </w:rPr>
              <w:tab/>
            </w:r>
          </w:p>
        </w:tc>
        <w:tc>
          <w:tcPr>
            <w:tcW w:w="2902" w:type="dxa"/>
          </w:tcPr>
          <w:p w:rsidR="007D0157" w:rsidRDefault="00ED4D2F" w:rsidP="00647986">
            <w:pPr>
              <w:pStyle w:val="Doc-text2"/>
              <w:tabs>
                <w:tab w:val="left" w:pos="340"/>
              </w:tabs>
              <w:spacing w:before="120" w:after="120"/>
              <w:ind w:left="0" w:firstLine="0"/>
              <w:jc w:val="center"/>
              <w:rPr>
                <w:sz w:val="22"/>
                <w:szCs w:val="22"/>
              </w:rPr>
            </w:pPr>
            <w:r>
              <w:rPr>
                <w:sz w:val="22"/>
                <w:szCs w:val="22"/>
              </w:rPr>
              <w:t>Extra Power Consumption</w:t>
            </w:r>
          </w:p>
        </w:tc>
      </w:tr>
      <w:tr w:rsidR="009E0027" w:rsidRPr="006E0447" w:rsidTr="00B83FDF">
        <w:trPr>
          <w:jc w:val="center"/>
        </w:trPr>
        <w:tc>
          <w:tcPr>
            <w:tcW w:w="1795" w:type="dxa"/>
            <w:vMerge w:val="restart"/>
          </w:tcPr>
          <w:p w:rsidR="009E0027" w:rsidRDefault="009E0027" w:rsidP="009E0027">
            <w:pPr>
              <w:pStyle w:val="Doc-text2"/>
              <w:tabs>
                <w:tab w:val="left" w:pos="340"/>
              </w:tabs>
              <w:spacing w:before="120" w:after="120"/>
              <w:ind w:left="0" w:firstLine="0"/>
              <w:jc w:val="center"/>
              <w:rPr>
                <w:sz w:val="22"/>
                <w:szCs w:val="22"/>
              </w:rPr>
            </w:pPr>
            <w:r>
              <w:rPr>
                <w:sz w:val="22"/>
                <w:szCs w:val="22"/>
              </w:rPr>
              <w:t>Configuration 1</w:t>
            </w: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1</w:t>
            </w:r>
          </w:p>
        </w:tc>
        <w:tc>
          <w:tcPr>
            <w:tcW w:w="306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159.5</w:t>
            </w:r>
          </w:p>
        </w:tc>
        <w:tc>
          <w:tcPr>
            <w:tcW w:w="2902" w:type="dxa"/>
            <w:vMerge w:val="restart"/>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13.5%</w:t>
            </w:r>
          </w:p>
        </w:tc>
      </w:tr>
      <w:tr w:rsidR="009E0027" w:rsidRPr="006E0447" w:rsidTr="00B83FDF">
        <w:trPr>
          <w:jc w:val="center"/>
        </w:trPr>
        <w:tc>
          <w:tcPr>
            <w:tcW w:w="1795" w:type="dxa"/>
            <w:vMerge/>
          </w:tcPr>
          <w:p w:rsidR="009E0027" w:rsidRDefault="009E0027" w:rsidP="009E0027">
            <w:pPr>
              <w:pStyle w:val="Doc-text2"/>
              <w:tabs>
                <w:tab w:val="left" w:pos="340"/>
              </w:tabs>
              <w:spacing w:before="120" w:after="120"/>
              <w:ind w:left="0" w:firstLine="0"/>
              <w:jc w:val="center"/>
              <w:rPr>
                <w:sz w:val="22"/>
                <w:szCs w:val="22"/>
              </w:rPr>
            </w:pP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2</w:t>
            </w:r>
          </w:p>
        </w:tc>
        <w:tc>
          <w:tcPr>
            <w:tcW w:w="306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140.50</w:t>
            </w:r>
          </w:p>
        </w:tc>
        <w:tc>
          <w:tcPr>
            <w:tcW w:w="2902" w:type="dxa"/>
            <w:vMerge/>
          </w:tcPr>
          <w:p w:rsidR="009E0027" w:rsidRPr="006E0447" w:rsidRDefault="009E0027" w:rsidP="009E0027">
            <w:pPr>
              <w:pStyle w:val="Doc-text2"/>
              <w:tabs>
                <w:tab w:val="left" w:pos="340"/>
              </w:tabs>
              <w:spacing w:before="120" w:after="120"/>
              <w:ind w:left="0" w:firstLine="0"/>
              <w:jc w:val="center"/>
              <w:rPr>
                <w:sz w:val="22"/>
                <w:szCs w:val="22"/>
              </w:rPr>
            </w:pPr>
          </w:p>
        </w:tc>
      </w:tr>
      <w:tr w:rsidR="009E0027" w:rsidRPr="006E0447" w:rsidTr="00B83FDF">
        <w:trPr>
          <w:jc w:val="center"/>
        </w:trPr>
        <w:tc>
          <w:tcPr>
            <w:tcW w:w="1795" w:type="dxa"/>
            <w:vMerge w:val="restart"/>
          </w:tcPr>
          <w:p w:rsidR="009E0027" w:rsidRDefault="009E0027" w:rsidP="009E0027">
            <w:pPr>
              <w:pStyle w:val="Doc-text2"/>
              <w:tabs>
                <w:tab w:val="left" w:pos="340"/>
              </w:tabs>
              <w:spacing w:before="120" w:after="120"/>
              <w:ind w:left="0" w:firstLine="0"/>
              <w:jc w:val="center"/>
              <w:rPr>
                <w:sz w:val="22"/>
                <w:szCs w:val="22"/>
              </w:rPr>
            </w:pPr>
            <w:r>
              <w:rPr>
                <w:sz w:val="22"/>
                <w:szCs w:val="22"/>
              </w:rPr>
              <w:t>Configuration 2</w:t>
            </w: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1</w:t>
            </w:r>
          </w:p>
        </w:tc>
        <w:tc>
          <w:tcPr>
            <w:tcW w:w="3060" w:type="dxa"/>
          </w:tcPr>
          <w:p w:rsidR="009E0027" w:rsidRPr="006E0447" w:rsidRDefault="0024505A" w:rsidP="009E0027">
            <w:pPr>
              <w:pStyle w:val="Doc-text2"/>
              <w:tabs>
                <w:tab w:val="left" w:pos="340"/>
              </w:tabs>
              <w:spacing w:before="120" w:after="120"/>
              <w:ind w:left="0" w:firstLine="0"/>
              <w:jc w:val="center"/>
              <w:rPr>
                <w:sz w:val="22"/>
                <w:szCs w:val="22"/>
              </w:rPr>
            </w:pPr>
            <w:r w:rsidRPr="006E0447">
              <w:rPr>
                <w:sz w:val="22"/>
                <w:szCs w:val="22"/>
              </w:rPr>
              <w:t>44.88</w:t>
            </w:r>
          </w:p>
        </w:tc>
        <w:tc>
          <w:tcPr>
            <w:tcW w:w="2902" w:type="dxa"/>
            <w:vMerge w:val="restart"/>
          </w:tcPr>
          <w:p w:rsidR="009E0027" w:rsidRPr="006E0447" w:rsidRDefault="0024505A" w:rsidP="009E0027">
            <w:pPr>
              <w:pStyle w:val="Doc-text2"/>
              <w:tabs>
                <w:tab w:val="left" w:pos="340"/>
              </w:tabs>
              <w:spacing w:before="120" w:after="120"/>
              <w:ind w:left="0" w:firstLine="0"/>
              <w:jc w:val="center"/>
              <w:rPr>
                <w:sz w:val="22"/>
                <w:szCs w:val="22"/>
              </w:rPr>
            </w:pPr>
            <w:r w:rsidRPr="006E0447">
              <w:rPr>
                <w:sz w:val="22"/>
                <w:szCs w:val="22"/>
              </w:rPr>
              <w:t>11.8</w:t>
            </w:r>
            <w:r w:rsidR="009E0027" w:rsidRPr="006E0447">
              <w:rPr>
                <w:sz w:val="22"/>
                <w:szCs w:val="22"/>
              </w:rPr>
              <w:t>%</w:t>
            </w:r>
          </w:p>
        </w:tc>
      </w:tr>
      <w:tr w:rsidR="009E0027" w:rsidRPr="006E0447" w:rsidTr="00B83FDF">
        <w:trPr>
          <w:jc w:val="center"/>
        </w:trPr>
        <w:tc>
          <w:tcPr>
            <w:tcW w:w="1795" w:type="dxa"/>
            <w:vMerge/>
          </w:tcPr>
          <w:p w:rsidR="009E0027" w:rsidRDefault="009E0027" w:rsidP="009E0027">
            <w:pPr>
              <w:pStyle w:val="Doc-text2"/>
              <w:tabs>
                <w:tab w:val="left" w:pos="340"/>
              </w:tabs>
              <w:spacing w:before="120" w:after="120"/>
              <w:ind w:left="0" w:firstLine="0"/>
              <w:jc w:val="center"/>
              <w:rPr>
                <w:sz w:val="22"/>
                <w:szCs w:val="22"/>
              </w:rPr>
            </w:pP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2</w:t>
            </w:r>
          </w:p>
        </w:tc>
        <w:tc>
          <w:tcPr>
            <w:tcW w:w="3060" w:type="dxa"/>
          </w:tcPr>
          <w:p w:rsidR="009E0027" w:rsidRPr="006E0447" w:rsidRDefault="0024505A" w:rsidP="009E0027">
            <w:pPr>
              <w:pStyle w:val="Doc-text2"/>
              <w:tabs>
                <w:tab w:val="left" w:pos="340"/>
              </w:tabs>
              <w:spacing w:before="120" w:after="120"/>
              <w:ind w:left="0" w:firstLine="0"/>
              <w:jc w:val="center"/>
              <w:rPr>
                <w:sz w:val="22"/>
                <w:szCs w:val="22"/>
              </w:rPr>
            </w:pPr>
            <w:r w:rsidRPr="006E0447">
              <w:rPr>
                <w:sz w:val="22"/>
                <w:szCs w:val="22"/>
              </w:rPr>
              <w:t>40.13</w:t>
            </w:r>
          </w:p>
        </w:tc>
        <w:tc>
          <w:tcPr>
            <w:tcW w:w="2902" w:type="dxa"/>
            <w:vMerge/>
          </w:tcPr>
          <w:p w:rsidR="009E0027" w:rsidRPr="006E0447" w:rsidRDefault="009E0027" w:rsidP="009E0027">
            <w:pPr>
              <w:pStyle w:val="Doc-text2"/>
              <w:tabs>
                <w:tab w:val="left" w:pos="340"/>
              </w:tabs>
              <w:spacing w:before="120" w:after="120"/>
              <w:ind w:left="0" w:firstLine="0"/>
              <w:jc w:val="center"/>
              <w:rPr>
                <w:sz w:val="22"/>
                <w:szCs w:val="22"/>
              </w:rPr>
            </w:pPr>
          </w:p>
        </w:tc>
      </w:tr>
      <w:tr w:rsidR="009E0027" w:rsidRPr="006E0447" w:rsidTr="00B83FDF">
        <w:trPr>
          <w:jc w:val="center"/>
        </w:trPr>
        <w:tc>
          <w:tcPr>
            <w:tcW w:w="1795" w:type="dxa"/>
            <w:vMerge w:val="restart"/>
          </w:tcPr>
          <w:p w:rsidR="009E0027" w:rsidRDefault="009E0027" w:rsidP="009E0027">
            <w:pPr>
              <w:pStyle w:val="Doc-text2"/>
              <w:tabs>
                <w:tab w:val="left" w:pos="340"/>
              </w:tabs>
              <w:spacing w:before="120" w:after="120"/>
              <w:ind w:left="0" w:firstLine="0"/>
              <w:jc w:val="center"/>
              <w:rPr>
                <w:sz w:val="22"/>
                <w:szCs w:val="22"/>
              </w:rPr>
            </w:pPr>
            <w:r>
              <w:rPr>
                <w:sz w:val="22"/>
                <w:szCs w:val="22"/>
              </w:rPr>
              <w:t>Configuration 3</w:t>
            </w: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1</w:t>
            </w:r>
          </w:p>
        </w:tc>
        <w:tc>
          <w:tcPr>
            <w:tcW w:w="3060" w:type="dxa"/>
          </w:tcPr>
          <w:p w:rsidR="009E0027" w:rsidRPr="006E0447" w:rsidRDefault="009E0027" w:rsidP="006E0447">
            <w:pPr>
              <w:pStyle w:val="Doc-text2"/>
              <w:tabs>
                <w:tab w:val="left" w:pos="340"/>
              </w:tabs>
              <w:spacing w:before="120" w:after="120"/>
              <w:ind w:left="0" w:firstLine="0"/>
              <w:jc w:val="center"/>
              <w:rPr>
                <w:sz w:val="22"/>
                <w:szCs w:val="22"/>
              </w:rPr>
            </w:pPr>
            <w:r w:rsidRPr="006E0447">
              <w:rPr>
                <w:sz w:val="22"/>
                <w:szCs w:val="22"/>
              </w:rPr>
              <w:t>26.</w:t>
            </w:r>
            <w:r w:rsidR="006E0447" w:rsidRPr="006E0447">
              <w:rPr>
                <w:sz w:val="22"/>
                <w:szCs w:val="22"/>
              </w:rPr>
              <w:t>80</w:t>
            </w:r>
          </w:p>
        </w:tc>
        <w:tc>
          <w:tcPr>
            <w:tcW w:w="2902" w:type="dxa"/>
            <w:vMerge w:val="restart"/>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12.5%</w:t>
            </w:r>
          </w:p>
        </w:tc>
      </w:tr>
      <w:tr w:rsidR="009E0027" w:rsidRPr="006E0447" w:rsidTr="00B83FDF">
        <w:trPr>
          <w:jc w:val="center"/>
        </w:trPr>
        <w:tc>
          <w:tcPr>
            <w:tcW w:w="1795" w:type="dxa"/>
            <w:vMerge/>
          </w:tcPr>
          <w:p w:rsidR="009E0027" w:rsidRDefault="009E0027" w:rsidP="009E0027">
            <w:pPr>
              <w:pStyle w:val="Doc-text2"/>
              <w:tabs>
                <w:tab w:val="left" w:pos="340"/>
              </w:tabs>
              <w:spacing w:before="120" w:after="120"/>
              <w:ind w:left="0" w:firstLine="0"/>
              <w:jc w:val="center"/>
              <w:rPr>
                <w:sz w:val="22"/>
                <w:szCs w:val="22"/>
              </w:rPr>
            </w:pPr>
          </w:p>
        </w:tc>
        <w:tc>
          <w:tcPr>
            <w:tcW w:w="198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Case 2</w:t>
            </w:r>
          </w:p>
        </w:tc>
        <w:tc>
          <w:tcPr>
            <w:tcW w:w="3060" w:type="dxa"/>
          </w:tcPr>
          <w:p w:rsidR="009E0027" w:rsidRPr="006E0447" w:rsidRDefault="009E0027" w:rsidP="009E0027">
            <w:pPr>
              <w:pStyle w:val="Doc-text2"/>
              <w:tabs>
                <w:tab w:val="left" w:pos="340"/>
              </w:tabs>
              <w:spacing w:before="120" w:after="120"/>
              <w:ind w:left="0" w:firstLine="0"/>
              <w:jc w:val="center"/>
              <w:rPr>
                <w:sz w:val="22"/>
                <w:szCs w:val="22"/>
              </w:rPr>
            </w:pPr>
            <w:r w:rsidRPr="006E0447">
              <w:rPr>
                <w:sz w:val="22"/>
                <w:szCs w:val="22"/>
              </w:rPr>
              <w:t>23.83</w:t>
            </w:r>
          </w:p>
        </w:tc>
        <w:tc>
          <w:tcPr>
            <w:tcW w:w="2902" w:type="dxa"/>
            <w:vMerge/>
          </w:tcPr>
          <w:p w:rsidR="009E0027" w:rsidRPr="006E0447" w:rsidRDefault="009E0027" w:rsidP="009E0027">
            <w:pPr>
              <w:pStyle w:val="Doc-text2"/>
              <w:tabs>
                <w:tab w:val="left" w:pos="340"/>
              </w:tabs>
              <w:spacing w:before="120" w:after="120"/>
              <w:ind w:left="0" w:firstLine="0"/>
              <w:jc w:val="center"/>
              <w:rPr>
                <w:sz w:val="22"/>
                <w:szCs w:val="22"/>
              </w:rPr>
            </w:pPr>
          </w:p>
        </w:tc>
      </w:tr>
    </w:tbl>
    <w:p w:rsidR="00647986" w:rsidRDefault="00432C07" w:rsidP="00E77851">
      <w:pPr>
        <w:pStyle w:val="Doc-text2"/>
        <w:tabs>
          <w:tab w:val="left" w:pos="340"/>
        </w:tabs>
        <w:spacing w:before="120" w:after="120"/>
        <w:ind w:left="0" w:firstLine="0"/>
        <w:jc w:val="both"/>
        <w:rPr>
          <w:b/>
          <w:sz w:val="22"/>
          <w:szCs w:val="22"/>
        </w:rPr>
      </w:pPr>
      <w:r w:rsidRPr="00432C07">
        <w:rPr>
          <w:b/>
          <w:sz w:val="22"/>
          <w:szCs w:val="22"/>
        </w:rPr>
        <w:t xml:space="preserve">Observation 2: Compared with aligned on-duration between </w:t>
      </w:r>
      <w:r>
        <w:rPr>
          <w:b/>
          <w:sz w:val="22"/>
          <w:szCs w:val="22"/>
        </w:rPr>
        <w:t xml:space="preserve">separate </w:t>
      </w:r>
      <w:r w:rsidRPr="00432C07">
        <w:rPr>
          <w:b/>
          <w:sz w:val="22"/>
          <w:szCs w:val="22"/>
        </w:rPr>
        <w:t xml:space="preserve">DRX of MCG and SCG, </w:t>
      </w:r>
      <w:r w:rsidR="00B83FDF" w:rsidRPr="00C34A84">
        <w:rPr>
          <w:b/>
          <w:sz w:val="22"/>
          <w:szCs w:val="22"/>
        </w:rPr>
        <w:t>1</w:t>
      </w:r>
      <w:r w:rsidR="009E0027">
        <w:rPr>
          <w:b/>
          <w:sz w:val="22"/>
          <w:szCs w:val="22"/>
        </w:rPr>
        <w:t>3.5</w:t>
      </w:r>
      <w:r w:rsidR="00B83FDF" w:rsidRPr="00C34A84">
        <w:rPr>
          <w:b/>
          <w:sz w:val="22"/>
          <w:szCs w:val="22"/>
        </w:rPr>
        <w:t xml:space="preserve">% </w:t>
      </w:r>
      <w:r w:rsidRPr="00432C07">
        <w:rPr>
          <w:b/>
          <w:sz w:val="22"/>
          <w:szCs w:val="22"/>
        </w:rPr>
        <w:t xml:space="preserve">additional UE power </w:t>
      </w:r>
      <w:r>
        <w:rPr>
          <w:b/>
          <w:sz w:val="22"/>
          <w:szCs w:val="22"/>
        </w:rPr>
        <w:t>is</w:t>
      </w:r>
      <w:r w:rsidRPr="00432C07">
        <w:rPr>
          <w:b/>
          <w:sz w:val="22"/>
          <w:szCs w:val="22"/>
        </w:rPr>
        <w:t xml:space="preserve"> consumed </w:t>
      </w:r>
      <w:r>
        <w:rPr>
          <w:b/>
          <w:sz w:val="22"/>
          <w:szCs w:val="22"/>
        </w:rPr>
        <w:t>for the case of non-aligned</w:t>
      </w:r>
      <w:r w:rsidRPr="00432C07">
        <w:rPr>
          <w:b/>
          <w:sz w:val="22"/>
          <w:szCs w:val="22"/>
        </w:rPr>
        <w:t xml:space="preserve"> on-duration of the separate </w:t>
      </w:r>
      <w:r>
        <w:rPr>
          <w:b/>
          <w:sz w:val="22"/>
          <w:szCs w:val="22"/>
        </w:rPr>
        <w:t xml:space="preserve">DRX. </w:t>
      </w:r>
    </w:p>
    <w:p w:rsidR="00C5642C" w:rsidRPr="00B83FDF" w:rsidRDefault="00C5642C" w:rsidP="00E77851">
      <w:pPr>
        <w:pStyle w:val="Doc-text2"/>
        <w:tabs>
          <w:tab w:val="left" w:pos="340"/>
        </w:tabs>
        <w:spacing w:before="120" w:after="120"/>
        <w:ind w:left="0" w:firstLine="0"/>
        <w:jc w:val="both"/>
        <w:rPr>
          <w:sz w:val="22"/>
          <w:szCs w:val="22"/>
        </w:rPr>
      </w:pPr>
      <w:r w:rsidRPr="00B83FDF">
        <w:rPr>
          <w:sz w:val="22"/>
          <w:szCs w:val="22"/>
        </w:rPr>
        <w:t>In generally, UE power consumption can benefit from the alignment of Active time between the separate DRX. However, considering the length of Active time is dynamic and controlled by multiple timers, the simplest way for network coordination and configuration is to align the on</w:t>
      </w:r>
      <w:r w:rsidR="00B83FDF">
        <w:rPr>
          <w:sz w:val="22"/>
          <w:szCs w:val="22"/>
        </w:rPr>
        <w:t xml:space="preserve">-duration of the separate DRX, so the on-duration of the separate DRX can be fully or partially overlapped. </w:t>
      </w:r>
    </w:p>
    <w:p w:rsidR="00432C07" w:rsidRDefault="00432C07" w:rsidP="00E77851">
      <w:pPr>
        <w:pStyle w:val="Doc-text2"/>
        <w:tabs>
          <w:tab w:val="left" w:pos="340"/>
        </w:tabs>
        <w:spacing w:before="120" w:after="120"/>
        <w:ind w:left="0" w:firstLine="0"/>
        <w:jc w:val="both"/>
        <w:rPr>
          <w:b/>
          <w:sz w:val="22"/>
          <w:szCs w:val="22"/>
        </w:rPr>
      </w:pPr>
      <w:r>
        <w:rPr>
          <w:b/>
          <w:sz w:val="22"/>
          <w:szCs w:val="22"/>
        </w:rPr>
        <w:t xml:space="preserve">Proposal 1: </w:t>
      </w:r>
      <w:r w:rsidR="00B83FDF">
        <w:rPr>
          <w:b/>
          <w:sz w:val="22"/>
          <w:szCs w:val="22"/>
        </w:rPr>
        <w:t xml:space="preserve">The on-duration of the separate DRX for MCG and SCG should be aligned. </w:t>
      </w:r>
    </w:p>
    <w:p w:rsidR="00E77851" w:rsidRPr="00414915" w:rsidRDefault="00E77851" w:rsidP="00E77851">
      <w:pPr>
        <w:pStyle w:val="Doc-text2"/>
        <w:tabs>
          <w:tab w:val="left" w:pos="340"/>
        </w:tabs>
        <w:spacing w:before="120" w:after="120"/>
        <w:ind w:left="0" w:firstLine="0"/>
        <w:jc w:val="both"/>
        <w:rPr>
          <w:sz w:val="22"/>
          <w:szCs w:val="22"/>
        </w:rPr>
      </w:pPr>
      <w:r w:rsidRPr="00414915">
        <w:rPr>
          <w:sz w:val="22"/>
          <w:szCs w:val="22"/>
        </w:rPr>
        <w:t xml:space="preserve">In order to align the on-duration of the separate DRX, there are different levels of solutions for the alignment. </w:t>
      </w:r>
    </w:p>
    <w:p w:rsidR="00E77851" w:rsidRPr="00414915" w:rsidRDefault="00E77851" w:rsidP="00414915">
      <w:pPr>
        <w:pStyle w:val="Doc-text2"/>
        <w:numPr>
          <w:ilvl w:val="0"/>
          <w:numId w:val="44"/>
        </w:numPr>
        <w:tabs>
          <w:tab w:val="left" w:pos="340"/>
        </w:tabs>
        <w:spacing w:before="120" w:after="120"/>
        <w:jc w:val="both"/>
        <w:rPr>
          <w:sz w:val="22"/>
          <w:szCs w:val="22"/>
        </w:rPr>
      </w:pPr>
      <w:r w:rsidRPr="00414915">
        <w:rPr>
          <w:sz w:val="22"/>
          <w:szCs w:val="22"/>
        </w:rPr>
        <w:t>Only the DRX Start Offset  is aligned;</w:t>
      </w:r>
    </w:p>
    <w:p w:rsidR="00414915" w:rsidRDefault="00E77851" w:rsidP="00414915">
      <w:pPr>
        <w:pStyle w:val="Doc-text2"/>
        <w:numPr>
          <w:ilvl w:val="0"/>
          <w:numId w:val="44"/>
        </w:numPr>
        <w:tabs>
          <w:tab w:val="left" w:pos="340"/>
        </w:tabs>
        <w:spacing w:before="120" w:after="120"/>
        <w:jc w:val="both"/>
        <w:rPr>
          <w:sz w:val="22"/>
          <w:szCs w:val="22"/>
        </w:rPr>
      </w:pPr>
      <w:r w:rsidRPr="00414915">
        <w:rPr>
          <w:sz w:val="22"/>
          <w:szCs w:val="22"/>
        </w:rPr>
        <w:t xml:space="preserve">Both the DRX Start Offset and DRX cycle are aligned. </w:t>
      </w:r>
    </w:p>
    <w:p w:rsidR="00414915" w:rsidRPr="00414915" w:rsidRDefault="00414915" w:rsidP="00414915">
      <w:pPr>
        <w:pStyle w:val="Doc-text2"/>
        <w:tabs>
          <w:tab w:val="left" w:pos="340"/>
        </w:tabs>
        <w:spacing w:before="120" w:after="120"/>
        <w:ind w:left="0" w:firstLine="0"/>
        <w:jc w:val="both"/>
        <w:rPr>
          <w:sz w:val="22"/>
          <w:szCs w:val="22"/>
        </w:rPr>
      </w:pPr>
      <w:r>
        <w:rPr>
          <w:sz w:val="22"/>
          <w:szCs w:val="22"/>
        </w:rPr>
        <w:t>Considering the DRX cycle is configured based on the on-going traffic, the DRX cycle</w:t>
      </w:r>
      <w:r w:rsidR="002D4E17">
        <w:rPr>
          <w:sz w:val="22"/>
          <w:szCs w:val="22"/>
        </w:rPr>
        <w:t xml:space="preserve"> for MCG and SCG</w:t>
      </w:r>
      <w:r>
        <w:rPr>
          <w:sz w:val="22"/>
          <w:szCs w:val="22"/>
        </w:rPr>
        <w:t xml:space="preserve"> </w:t>
      </w:r>
      <w:r w:rsidR="002D4E17">
        <w:rPr>
          <w:sz w:val="22"/>
          <w:szCs w:val="22"/>
        </w:rPr>
        <w:t>may not</w:t>
      </w:r>
      <w:r>
        <w:rPr>
          <w:sz w:val="22"/>
          <w:szCs w:val="22"/>
        </w:rPr>
        <w:t xml:space="preserve"> be aligned especially different types of services provided by eNB and gNB.</w:t>
      </w:r>
    </w:p>
    <w:p w:rsidR="00414915" w:rsidRPr="00414915" w:rsidRDefault="00414915" w:rsidP="00414915">
      <w:pPr>
        <w:pStyle w:val="Doc-text2"/>
        <w:tabs>
          <w:tab w:val="left" w:pos="340"/>
        </w:tabs>
        <w:spacing w:before="120" w:after="120"/>
        <w:ind w:left="0" w:firstLine="0"/>
        <w:jc w:val="both"/>
        <w:rPr>
          <w:b/>
          <w:sz w:val="22"/>
          <w:szCs w:val="22"/>
        </w:rPr>
      </w:pPr>
      <w:r>
        <w:rPr>
          <w:b/>
          <w:sz w:val="22"/>
          <w:szCs w:val="22"/>
        </w:rPr>
        <w:t>Proposal 2: RAN2 consider to align DRX start offset between gNB and eNB for the separate DRX configuration.</w:t>
      </w:r>
    </w:p>
    <w:p w:rsidR="00E77851" w:rsidRDefault="00A11F76" w:rsidP="00E77851">
      <w:pPr>
        <w:pStyle w:val="Doc-text2"/>
        <w:tabs>
          <w:tab w:val="left" w:pos="340"/>
        </w:tabs>
        <w:spacing w:before="120" w:after="120"/>
        <w:ind w:left="0" w:firstLine="0"/>
        <w:jc w:val="both"/>
        <w:rPr>
          <w:sz w:val="22"/>
          <w:szCs w:val="22"/>
        </w:rPr>
      </w:pPr>
      <w:r w:rsidRPr="00E77851">
        <w:rPr>
          <w:sz w:val="22"/>
          <w:szCs w:val="22"/>
        </w:rPr>
        <w:t>In order to align the separate DRX, the coordination between gNB and eNB is required. However, in certain deployment scenarios, there is difficult</w:t>
      </w:r>
      <w:r w:rsidR="002D4E17">
        <w:rPr>
          <w:sz w:val="22"/>
          <w:szCs w:val="22"/>
        </w:rPr>
        <w:t>y</w:t>
      </w:r>
      <w:r w:rsidRPr="00E77851">
        <w:rPr>
          <w:sz w:val="22"/>
          <w:szCs w:val="22"/>
        </w:rPr>
        <w:t xml:space="preserve"> </w:t>
      </w:r>
      <w:r w:rsidR="00E77851" w:rsidRPr="00E77851">
        <w:rPr>
          <w:sz w:val="22"/>
          <w:szCs w:val="22"/>
        </w:rPr>
        <w:t xml:space="preserve">for different base stations to align the DRX configuration between each other.  </w:t>
      </w:r>
      <w:r w:rsidR="002D4E17">
        <w:rPr>
          <w:sz w:val="22"/>
          <w:szCs w:val="22"/>
        </w:rPr>
        <w:t xml:space="preserve">In this case, UE </w:t>
      </w:r>
      <w:r w:rsidR="00A971DA">
        <w:rPr>
          <w:sz w:val="22"/>
          <w:szCs w:val="22"/>
        </w:rPr>
        <w:t xml:space="preserve">side information can be provided to the network to assist the DRX configuration alignment. </w:t>
      </w:r>
      <w:r w:rsidR="00E77851" w:rsidRPr="00E77851">
        <w:rPr>
          <w:sz w:val="22"/>
          <w:szCs w:val="22"/>
        </w:rPr>
        <w:t xml:space="preserve">On potential method is that </w:t>
      </w:r>
      <w:r w:rsidR="002D4E17">
        <w:rPr>
          <w:sz w:val="22"/>
          <w:szCs w:val="22"/>
        </w:rPr>
        <w:t xml:space="preserve">the </w:t>
      </w:r>
      <w:r w:rsidR="00E77851" w:rsidRPr="00E77851">
        <w:rPr>
          <w:sz w:val="22"/>
          <w:szCs w:val="22"/>
        </w:rPr>
        <w:t>UE provide</w:t>
      </w:r>
      <w:r w:rsidR="00E77851">
        <w:rPr>
          <w:sz w:val="22"/>
          <w:szCs w:val="22"/>
        </w:rPr>
        <w:t>s</w:t>
      </w:r>
      <w:r w:rsidR="00E77851" w:rsidRPr="00E77851">
        <w:rPr>
          <w:sz w:val="22"/>
          <w:szCs w:val="22"/>
        </w:rPr>
        <w:t xml:space="preserve"> aligned DRX configuration to the network. </w:t>
      </w:r>
      <w:r w:rsidR="002D4E17">
        <w:rPr>
          <w:sz w:val="22"/>
          <w:szCs w:val="22"/>
        </w:rPr>
        <w:t xml:space="preserve">The </w:t>
      </w:r>
      <w:r w:rsidR="00E77851">
        <w:rPr>
          <w:sz w:val="22"/>
          <w:szCs w:val="22"/>
        </w:rPr>
        <w:t>UE may refer one DRX configuration as baseline and adjust the other DRX configuration for alignment.</w:t>
      </w:r>
    </w:p>
    <w:p w:rsidR="00CC49E0" w:rsidRDefault="00414915" w:rsidP="00CC49E0">
      <w:pPr>
        <w:pStyle w:val="Doc-text2"/>
        <w:tabs>
          <w:tab w:val="left" w:pos="340"/>
        </w:tabs>
        <w:spacing w:before="120" w:after="120"/>
        <w:ind w:left="0" w:firstLine="0"/>
        <w:jc w:val="both"/>
        <w:rPr>
          <w:sz w:val="22"/>
          <w:szCs w:val="22"/>
        </w:rPr>
      </w:pPr>
      <w:r w:rsidRPr="00414915">
        <w:rPr>
          <w:b/>
          <w:sz w:val="22"/>
          <w:szCs w:val="22"/>
        </w:rPr>
        <w:t xml:space="preserve">Proposal 3: </w:t>
      </w:r>
      <w:r w:rsidR="00A971DA">
        <w:rPr>
          <w:b/>
          <w:sz w:val="22"/>
          <w:szCs w:val="22"/>
        </w:rPr>
        <w:t xml:space="preserve">UE can be configured to </w:t>
      </w:r>
      <w:r w:rsidRPr="00414915">
        <w:rPr>
          <w:b/>
          <w:sz w:val="22"/>
          <w:szCs w:val="22"/>
        </w:rPr>
        <w:t xml:space="preserve">provide the aligned DRX configuration to </w:t>
      </w:r>
      <w:r w:rsidR="002D4E17">
        <w:rPr>
          <w:b/>
          <w:sz w:val="22"/>
          <w:szCs w:val="22"/>
        </w:rPr>
        <w:t xml:space="preserve">the </w:t>
      </w:r>
      <w:r w:rsidRPr="00414915">
        <w:rPr>
          <w:b/>
          <w:sz w:val="22"/>
          <w:szCs w:val="22"/>
        </w:rPr>
        <w:t xml:space="preserve">network. </w:t>
      </w:r>
    </w:p>
    <w:p w:rsidR="00CC49E0" w:rsidRDefault="00CC49E0" w:rsidP="00CC49E0">
      <w:pPr>
        <w:pStyle w:val="Heading1"/>
        <w:rPr>
          <w:lang w:val="en-US" w:eastAsia="ko-KR"/>
        </w:rPr>
      </w:pPr>
      <w:r>
        <w:rPr>
          <w:lang w:val="en-US" w:eastAsia="ko-KR"/>
        </w:rPr>
        <w:t xml:space="preserve">3 </w:t>
      </w:r>
      <w:r w:rsidR="00414915">
        <w:rPr>
          <w:lang w:val="en-US" w:eastAsia="ko-KR"/>
        </w:rPr>
        <w:t>Conclusion</w:t>
      </w:r>
    </w:p>
    <w:p w:rsidR="002D7F97" w:rsidRPr="002D7F97" w:rsidRDefault="00414915" w:rsidP="002D7F97">
      <w:pPr>
        <w:pStyle w:val="Doc-text2"/>
        <w:tabs>
          <w:tab w:val="left" w:pos="340"/>
        </w:tabs>
        <w:spacing w:before="120" w:after="120"/>
        <w:ind w:left="0" w:firstLine="0"/>
        <w:jc w:val="both"/>
        <w:rPr>
          <w:sz w:val="22"/>
          <w:szCs w:val="22"/>
        </w:rPr>
      </w:pPr>
      <w:r w:rsidRPr="002D7F97">
        <w:rPr>
          <w:sz w:val="22"/>
          <w:szCs w:val="22"/>
        </w:rPr>
        <w:t xml:space="preserve">In this contribution, we analyze the UE power consumption </w:t>
      </w:r>
      <w:r w:rsidR="002D7F97" w:rsidRPr="002D7F97">
        <w:rPr>
          <w:sz w:val="22"/>
          <w:szCs w:val="22"/>
        </w:rPr>
        <w:t>with different DRX configurations when the separate DRX for MCG and SCG is aligned and not aligned.  Based on the observations:</w:t>
      </w:r>
    </w:p>
    <w:p w:rsidR="00A971DA" w:rsidRDefault="00A971DA" w:rsidP="00A971DA">
      <w:pPr>
        <w:pStyle w:val="Doc-text2"/>
        <w:tabs>
          <w:tab w:val="left" w:pos="340"/>
        </w:tabs>
        <w:spacing w:before="120" w:after="120"/>
        <w:ind w:left="0" w:firstLine="0"/>
        <w:jc w:val="both"/>
        <w:rPr>
          <w:b/>
          <w:sz w:val="22"/>
          <w:szCs w:val="22"/>
        </w:rPr>
      </w:pPr>
      <w:r w:rsidRPr="004F1922">
        <w:rPr>
          <w:b/>
          <w:sz w:val="22"/>
          <w:szCs w:val="22"/>
        </w:rPr>
        <w:t xml:space="preserve">Observation 1: UE need to wake up earlier for pre-scheduling and pre-sync for each On-duration and stay awake for a while for post-processing at the end of Active time. </w:t>
      </w:r>
    </w:p>
    <w:p w:rsidR="00A971DA" w:rsidRDefault="00A971DA" w:rsidP="00A971DA">
      <w:pPr>
        <w:pStyle w:val="Doc-text2"/>
        <w:tabs>
          <w:tab w:val="left" w:pos="340"/>
        </w:tabs>
        <w:spacing w:before="120" w:after="120"/>
        <w:ind w:left="0" w:firstLine="0"/>
        <w:jc w:val="both"/>
        <w:rPr>
          <w:b/>
          <w:sz w:val="22"/>
          <w:szCs w:val="22"/>
        </w:rPr>
      </w:pPr>
      <w:r w:rsidRPr="00432C07">
        <w:rPr>
          <w:b/>
          <w:sz w:val="22"/>
          <w:szCs w:val="22"/>
        </w:rPr>
        <w:t xml:space="preserve">Observation 2: Compared with aligned on-duration between </w:t>
      </w:r>
      <w:r>
        <w:rPr>
          <w:b/>
          <w:sz w:val="22"/>
          <w:szCs w:val="22"/>
        </w:rPr>
        <w:t xml:space="preserve">separate </w:t>
      </w:r>
      <w:r w:rsidRPr="00432C07">
        <w:rPr>
          <w:b/>
          <w:sz w:val="22"/>
          <w:szCs w:val="22"/>
        </w:rPr>
        <w:t xml:space="preserve">DRX of MCG and SCG, </w:t>
      </w:r>
      <w:r w:rsidR="009E0027">
        <w:rPr>
          <w:b/>
          <w:sz w:val="22"/>
          <w:szCs w:val="22"/>
        </w:rPr>
        <w:t>13.5</w:t>
      </w:r>
      <w:r w:rsidRPr="00C34A84">
        <w:rPr>
          <w:b/>
          <w:sz w:val="22"/>
          <w:szCs w:val="22"/>
        </w:rPr>
        <w:t xml:space="preserve">% </w:t>
      </w:r>
      <w:r w:rsidRPr="00432C07">
        <w:rPr>
          <w:b/>
          <w:sz w:val="22"/>
          <w:szCs w:val="22"/>
        </w:rPr>
        <w:t xml:space="preserve">additional UE power </w:t>
      </w:r>
      <w:r>
        <w:rPr>
          <w:b/>
          <w:sz w:val="22"/>
          <w:szCs w:val="22"/>
        </w:rPr>
        <w:t>is</w:t>
      </w:r>
      <w:r w:rsidRPr="00432C07">
        <w:rPr>
          <w:b/>
          <w:sz w:val="22"/>
          <w:szCs w:val="22"/>
        </w:rPr>
        <w:t xml:space="preserve"> consumed </w:t>
      </w:r>
      <w:r>
        <w:rPr>
          <w:b/>
          <w:sz w:val="22"/>
          <w:szCs w:val="22"/>
        </w:rPr>
        <w:t>for the case of non-aligned</w:t>
      </w:r>
      <w:r w:rsidRPr="00432C07">
        <w:rPr>
          <w:b/>
          <w:sz w:val="22"/>
          <w:szCs w:val="22"/>
        </w:rPr>
        <w:t xml:space="preserve"> on-duration of the separate </w:t>
      </w:r>
      <w:r>
        <w:rPr>
          <w:b/>
          <w:sz w:val="22"/>
          <w:szCs w:val="22"/>
        </w:rPr>
        <w:t xml:space="preserve">DRX. </w:t>
      </w:r>
    </w:p>
    <w:p w:rsidR="002D7F97" w:rsidRPr="0018308E" w:rsidRDefault="002D7F97" w:rsidP="00414915">
      <w:pPr>
        <w:rPr>
          <w:rFonts w:ascii="Arial" w:eastAsia="MS Mincho" w:hAnsi="Arial"/>
          <w:sz w:val="22"/>
          <w:szCs w:val="22"/>
        </w:rPr>
      </w:pPr>
      <w:r w:rsidRPr="0018308E">
        <w:rPr>
          <w:rFonts w:ascii="Arial" w:eastAsia="MS Mincho" w:hAnsi="Arial"/>
          <w:sz w:val="22"/>
          <w:szCs w:val="22"/>
        </w:rPr>
        <w:t>We propose:</w:t>
      </w:r>
    </w:p>
    <w:p w:rsidR="00A971DA" w:rsidRDefault="00A971DA" w:rsidP="00A971DA">
      <w:pPr>
        <w:pStyle w:val="Doc-text2"/>
        <w:tabs>
          <w:tab w:val="left" w:pos="340"/>
        </w:tabs>
        <w:spacing w:before="120" w:after="120"/>
        <w:ind w:left="0" w:firstLine="0"/>
        <w:jc w:val="both"/>
        <w:rPr>
          <w:b/>
          <w:sz w:val="22"/>
          <w:szCs w:val="22"/>
        </w:rPr>
      </w:pPr>
      <w:r>
        <w:rPr>
          <w:b/>
          <w:sz w:val="22"/>
          <w:szCs w:val="22"/>
        </w:rPr>
        <w:t xml:space="preserve">Proposal 1: The on-duration of the separate DRX for MCG and SCG should be aligned. </w:t>
      </w:r>
    </w:p>
    <w:p w:rsidR="00A971DA" w:rsidRPr="00414915" w:rsidRDefault="00A971DA" w:rsidP="00A971DA">
      <w:pPr>
        <w:pStyle w:val="Doc-text2"/>
        <w:tabs>
          <w:tab w:val="left" w:pos="340"/>
        </w:tabs>
        <w:spacing w:before="120" w:after="120"/>
        <w:ind w:left="0" w:firstLine="0"/>
        <w:jc w:val="both"/>
        <w:rPr>
          <w:b/>
          <w:sz w:val="22"/>
          <w:szCs w:val="22"/>
        </w:rPr>
      </w:pPr>
      <w:r>
        <w:rPr>
          <w:b/>
          <w:sz w:val="22"/>
          <w:szCs w:val="22"/>
        </w:rPr>
        <w:t>Proposal 2: RAN2 consider to align DRX start offset between gNB and eNB for the separate DRX configuration.</w:t>
      </w:r>
    </w:p>
    <w:p w:rsidR="00A971DA" w:rsidRDefault="00A971DA" w:rsidP="00A971DA">
      <w:pPr>
        <w:pStyle w:val="Doc-text2"/>
        <w:tabs>
          <w:tab w:val="left" w:pos="340"/>
        </w:tabs>
        <w:spacing w:before="120" w:after="120"/>
        <w:ind w:left="0" w:firstLine="0"/>
        <w:jc w:val="both"/>
        <w:rPr>
          <w:sz w:val="22"/>
          <w:szCs w:val="22"/>
        </w:rPr>
      </w:pPr>
      <w:r w:rsidRPr="00414915">
        <w:rPr>
          <w:b/>
          <w:sz w:val="22"/>
          <w:szCs w:val="22"/>
        </w:rPr>
        <w:t xml:space="preserve">Proposal 3: </w:t>
      </w:r>
      <w:r>
        <w:rPr>
          <w:b/>
          <w:sz w:val="22"/>
          <w:szCs w:val="22"/>
        </w:rPr>
        <w:t xml:space="preserve">UE can be configured to </w:t>
      </w:r>
      <w:r w:rsidRPr="00414915">
        <w:rPr>
          <w:b/>
          <w:sz w:val="22"/>
          <w:szCs w:val="22"/>
        </w:rPr>
        <w:t xml:space="preserve">provide the aligned DRX configuration to </w:t>
      </w:r>
      <w:r>
        <w:rPr>
          <w:b/>
          <w:sz w:val="22"/>
          <w:szCs w:val="22"/>
        </w:rPr>
        <w:t xml:space="preserve">the </w:t>
      </w:r>
      <w:r w:rsidRPr="00414915">
        <w:rPr>
          <w:b/>
          <w:sz w:val="22"/>
          <w:szCs w:val="22"/>
        </w:rPr>
        <w:t xml:space="preserve">network. </w:t>
      </w:r>
    </w:p>
    <w:p w:rsidR="008C6AB3" w:rsidRDefault="002D7F97" w:rsidP="008C6AB3">
      <w:pPr>
        <w:pStyle w:val="Heading1"/>
        <w:pBdr>
          <w:top w:val="single" w:sz="12" w:space="0" w:color="auto"/>
        </w:pBdr>
        <w:rPr>
          <w:lang w:val="en-US" w:eastAsia="ko-KR"/>
        </w:rPr>
      </w:pPr>
      <w:r>
        <w:rPr>
          <w:lang w:val="en-US" w:eastAsia="ko-KR"/>
        </w:rPr>
        <w:lastRenderedPageBreak/>
        <w:t>4 Annex</w:t>
      </w:r>
    </w:p>
    <w:p w:rsidR="008C6AB3" w:rsidRPr="00A971DA" w:rsidRDefault="002D7F97" w:rsidP="00A76FCF">
      <w:pPr>
        <w:jc w:val="both"/>
        <w:rPr>
          <w:rFonts w:ascii="Arial" w:eastAsia="SimSun" w:hAnsi="Arial" w:cs="Arial"/>
          <w:sz w:val="28"/>
          <w:lang w:eastAsia="ja-JP"/>
        </w:rPr>
      </w:pPr>
      <w:r w:rsidRPr="00A971DA">
        <w:rPr>
          <w:rFonts w:ascii="Arial" w:eastAsia="SimSun" w:hAnsi="Arial" w:cs="Arial"/>
          <w:sz w:val="28"/>
          <w:lang w:eastAsia="ja-JP"/>
        </w:rPr>
        <w:t>4.1 Assumptions on Timing</w:t>
      </w:r>
    </w:p>
    <w:tbl>
      <w:tblPr>
        <w:tblStyle w:val="TableGrid"/>
        <w:tblW w:w="0" w:type="auto"/>
        <w:tblLook w:val="04A0" w:firstRow="1" w:lastRow="0" w:firstColumn="1" w:lastColumn="0" w:noHBand="0" w:noVBand="1"/>
      </w:tblPr>
      <w:tblGrid>
        <w:gridCol w:w="5228"/>
        <w:gridCol w:w="5229"/>
      </w:tblGrid>
      <w:tr w:rsidR="00A971DA" w:rsidRPr="00A971DA" w:rsidTr="002D7F97">
        <w:tc>
          <w:tcPr>
            <w:tcW w:w="5228" w:type="dxa"/>
          </w:tcPr>
          <w:p w:rsidR="002D7F97" w:rsidRPr="00A971DA" w:rsidRDefault="002D7F97" w:rsidP="002D7F97">
            <w:pPr>
              <w:rPr>
                <w:rFonts w:ascii="Arial" w:eastAsia="MS Mincho" w:hAnsi="Arial"/>
                <w:b/>
                <w:sz w:val="22"/>
                <w:szCs w:val="22"/>
              </w:rPr>
            </w:pPr>
            <w:r w:rsidRPr="00A971DA">
              <w:rPr>
                <w:rFonts w:ascii="Arial" w:eastAsia="MS Mincho" w:hAnsi="Arial"/>
                <w:b/>
                <w:sz w:val="22"/>
                <w:szCs w:val="22"/>
              </w:rPr>
              <w:t>Parameters</w:t>
            </w:r>
          </w:p>
        </w:tc>
        <w:tc>
          <w:tcPr>
            <w:tcW w:w="5229" w:type="dxa"/>
          </w:tcPr>
          <w:p w:rsidR="002D7F97" w:rsidRPr="00A971DA" w:rsidRDefault="002D7F97" w:rsidP="002D7F97">
            <w:pPr>
              <w:pStyle w:val="NormalWeb"/>
              <w:spacing w:before="0" w:beforeAutospacing="0" w:after="0" w:afterAutospacing="0"/>
              <w:rPr>
                <w:rFonts w:ascii="Arial" w:eastAsia="MS Mincho" w:hAnsi="Arial"/>
                <w:b/>
                <w:sz w:val="22"/>
                <w:szCs w:val="22"/>
                <w:lang w:eastAsia="zh-TW"/>
              </w:rPr>
            </w:pPr>
            <w:r w:rsidRPr="00A971DA">
              <w:rPr>
                <w:rFonts w:ascii="Arial" w:eastAsia="MS Mincho" w:hAnsi="Arial"/>
                <w:b/>
                <w:sz w:val="22"/>
                <w:szCs w:val="22"/>
                <w:lang w:eastAsia="zh-TW"/>
              </w:rPr>
              <w:t>Time duration (ms)</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LTE DRX on Duration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 xml:space="preserve">LTE_DRX </w:t>
            </w:r>
            <w:r w:rsidRPr="00A971DA">
              <w:rPr>
                <w:rFonts w:ascii="Arial" w:eastAsia="MS Mincho" w:hAnsi="Arial"/>
                <w:sz w:val="22"/>
                <w:szCs w:val="22"/>
                <w:lang w:eastAsia="zh-TW"/>
              </w:rPr>
              <w:t>= 4</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NR DRX on Duration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 xml:space="preserve">NR_DRX </w:t>
            </w:r>
            <w:r w:rsidRPr="00A971DA">
              <w:rPr>
                <w:rFonts w:ascii="Arial" w:eastAsia="MS Mincho" w:hAnsi="Arial"/>
                <w:sz w:val="22"/>
                <w:szCs w:val="22"/>
                <w:lang w:eastAsia="zh-TW"/>
              </w:rPr>
              <w:t>= 4</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LTE pre-sync</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Sync</w:t>
            </w:r>
            <w:r w:rsidRPr="00A971DA">
              <w:rPr>
                <w:rFonts w:ascii="Arial" w:eastAsia="MS Mincho" w:hAnsi="Arial"/>
                <w:sz w:val="22"/>
                <w:szCs w:val="22"/>
                <w:lang w:eastAsia="zh-TW"/>
              </w:rPr>
              <w:t xml:space="preserve"> = 2</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NR SMTC window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SMTC</w:t>
            </w:r>
            <w:r w:rsidRPr="00A971DA">
              <w:rPr>
                <w:rFonts w:ascii="Arial" w:eastAsia="MS Mincho" w:hAnsi="Arial"/>
                <w:sz w:val="22"/>
                <w:szCs w:val="22"/>
                <w:lang w:eastAsia="zh-TW"/>
              </w:rPr>
              <w:t xml:space="preserve"> = 5</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Modem pre-scheduling </w:t>
            </w:r>
          </w:p>
        </w:tc>
        <w:tc>
          <w:tcPr>
            <w:tcW w:w="5229" w:type="dxa"/>
          </w:tcPr>
          <w:p w:rsidR="002D7F97" w:rsidRPr="00A971DA" w:rsidRDefault="002D7F97" w:rsidP="0054261F">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Pre</w:t>
            </w:r>
            <w:r w:rsidRPr="00A971DA">
              <w:rPr>
                <w:rFonts w:ascii="Arial" w:eastAsia="MS Mincho" w:hAnsi="Arial"/>
                <w:sz w:val="22"/>
                <w:szCs w:val="22"/>
                <w:lang w:eastAsia="zh-TW"/>
              </w:rPr>
              <w:t xml:space="preserve"> = </w:t>
            </w:r>
            <w:r w:rsidR="0054261F" w:rsidRPr="00A971DA">
              <w:rPr>
                <w:rFonts w:ascii="Arial" w:eastAsia="MS Mincho" w:hAnsi="Arial"/>
                <w:sz w:val="22"/>
                <w:szCs w:val="22"/>
                <w:lang w:eastAsia="zh-TW"/>
              </w:rPr>
              <w:t>2</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Modem post-processing </w:t>
            </w:r>
          </w:p>
        </w:tc>
        <w:tc>
          <w:tcPr>
            <w:tcW w:w="5229" w:type="dxa"/>
          </w:tcPr>
          <w:p w:rsidR="002D7F97" w:rsidRPr="00A971DA" w:rsidRDefault="002D7F97" w:rsidP="0054261F">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Pos</w:t>
            </w:r>
            <w:r w:rsidRPr="00A971DA">
              <w:rPr>
                <w:rFonts w:ascii="Arial" w:eastAsia="MS Mincho" w:hAnsi="Arial"/>
                <w:sz w:val="22"/>
                <w:szCs w:val="22"/>
                <w:lang w:eastAsia="zh-TW"/>
              </w:rPr>
              <w:t xml:space="preserve"> = </w:t>
            </w:r>
            <w:r w:rsidR="0054261F" w:rsidRPr="00A971DA">
              <w:rPr>
                <w:rFonts w:ascii="Arial" w:eastAsia="MS Mincho" w:hAnsi="Arial"/>
                <w:sz w:val="22"/>
                <w:szCs w:val="22"/>
                <w:lang w:eastAsia="zh-TW"/>
              </w:rPr>
              <w:t>2</w:t>
            </w:r>
          </w:p>
        </w:tc>
      </w:tr>
      <w:tr w:rsidR="002D7F97"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DRX cycle length</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CYC</w:t>
            </w:r>
            <w:r w:rsidRPr="00A971DA">
              <w:rPr>
                <w:rFonts w:ascii="Arial" w:eastAsia="MS Mincho" w:hAnsi="Arial"/>
                <w:sz w:val="22"/>
                <w:szCs w:val="22"/>
                <w:lang w:eastAsia="zh-TW"/>
              </w:rPr>
              <w:t xml:space="preserve"> = 20, </w:t>
            </w:r>
            <w:r w:rsidR="0024505A" w:rsidRPr="006E0447">
              <w:rPr>
                <w:rFonts w:ascii="Arial" w:eastAsia="MS Mincho" w:hAnsi="Arial"/>
                <w:sz w:val="22"/>
                <w:szCs w:val="22"/>
                <w:lang w:eastAsia="zh-TW"/>
              </w:rPr>
              <w:t>4</w:t>
            </w:r>
            <w:r w:rsidRPr="006E0447">
              <w:rPr>
                <w:rFonts w:ascii="Arial" w:eastAsia="MS Mincho" w:hAnsi="Arial"/>
                <w:sz w:val="22"/>
                <w:szCs w:val="22"/>
                <w:lang w:eastAsia="zh-TW"/>
              </w:rPr>
              <w:t xml:space="preserve">0, </w:t>
            </w:r>
            <w:r w:rsidRPr="00A971DA">
              <w:rPr>
                <w:rFonts w:ascii="Arial" w:eastAsia="MS Mincho" w:hAnsi="Arial"/>
                <w:sz w:val="22"/>
                <w:szCs w:val="22"/>
                <w:lang w:eastAsia="zh-TW"/>
              </w:rPr>
              <w:t>128</w:t>
            </w:r>
          </w:p>
        </w:tc>
      </w:tr>
    </w:tbl>
    <w:p w:rsidR="002D7F97" w:rsidRPr="00A971DA" w:rsidRDefault="002D7F97" w:rsidP="008C6AB3">
      <w:pPr>
        <w:spacing w:after="60"/>
        <w:rPr>
          <w:rFonts w:ascii="Arial" w:hAnsi="Arial" w:cs="Arial"/>
          <w:sz w:val="22"/>
          <w:szCs w:val="22"/>
          <w:lang w:eastAsia="ko-KR"/>
        </w:rPr>
      </w:pPr>
    </w:p>
    <w:p w:rsidR="00A76FCF" w:rsidRPr="00A971DA" w:rsidRDefault="00A76FCF" w:rsidP="00A76FCF">
      <w:pPr>
        <w:jc w:val="both"/>
        <w:rPr>
          <w:rFonts w:ascii="Arial" w:eastAsia="SimSun" w:hAnsi="Arial" w:cs="Arial"/>
          <w:sz w:val="28"/>
          <w:lang w:eastAsia="ja-JP"/>
        </w:rPr>
      </w:pPr>
      <w:r w:rsidRPr="00A971DA">
        <w:rPr>
          <w:rFonts w:ascii="Arial" w:eastAsia="SimSun" w:hAnsi="Arial" w:cs="Arial"/>
          <w:sz w:val="28"/>
          <w:lang w:eastAsia="ja-JP"/>
        </w:rPr>
        <w:t>4.2 Assumptions on Power Consumption</w:t>
      </w:r>
    </w:p>
    <w:tbl>
      <w:tblPr>
        <w:tblStyle w:val="TableGrid"/>
        <w:tblW w:w="0" w:type="auto"/>
        <w:tblLook w:val="04A0" w:firstRow="1" w:lastRow="0" w:firstColumn="1" w:lastColumn="0" w:noHBand="0" w:noVBand="1"/>
      </w:tblPr>
      <w:tblGrid>
        <w:gridCol w:w="2614"/>
        <w:gridCol w:w="2614"/>
        <w:gridCol w:w="2614"/>
        <w:gridCol w:w="2615"/>
      </w:tblGrid>
      <w:tr w:rsidR="00A971DA" w:rsidRPr="00A971DA" w:rsidTr="00A76FCF">
        <w:tc>
          <w:tcPr>
            <w:tcW w:w="2614" w:type="dxa"/>
          </w:tcPr>
          <w:p w:rsidR="00A76FCF" w:rsidRPr="00A971DA" w:rsidRDefault="00A76FCF" w:rsidP="00A76FCF">
            <w:pPr>
              <w:rPr>
                <w:rFonts w:ascii="Arial" w:eastAsia="MS Mincho" w:hAnsi="Arial"/>
                <w:b/>
                <w:sz w:val="22"/>
                <w:szCs w:val="22"/>
              </w:rPr>
            </w:pPr>
          </w:p>
        </w:tc>
        <w:tc>
          <w:tcPr>
            <w:tcW w:w="2614"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1</w:t>
            </w:r>
          </w:p>
        </w:tc>
        <w:tc>
          <w:tcPr>
            <w:tcW w:w="2614"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2</w:t>
            </w:r>
          </w:p>
        </w:tc>
        <w:tc>
          <w:tcPr>
            <w:tcW w:w="2615"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3</w:t>
            </w:r>
          </w:p>
        </w:tc>
      </w:tr>
      <w:tr w:rsidR="00A76FCF" w:rsidRPr="00A971DA" w:rsidTr="00A76FCF">
        <w:tc>
          <w:tcPr>
            <w:tcW w:w="2614" w:type="dxa"/>
          </w:tcPr>
          <w:p w:rsidR="00A76FCF" w:rsidRPr="00A971DA" w:rsidRDefault="00A76FCF" w:rsidP="00A76FCF">
            <w:pPr>
              <w:rPr>
                <w:rFonts w:ascii="Arial" w:eastAsia="SimSun" w:hAnsi="Arial" w:cs="Arial"/>
                <w:sz w:val="22"/>
                <w:szCs w:val="22"/>
                <w:lang w:eastAsia="ja-JP"/>
              </w:rPr>
            </w:pPr>
            <w:r w:rsidRPr="00A971DA">
              <w:rPr>
                <w:rFonts w:ascii="Arial" w:eastAsia="MS Mincho" w:hAnsi="Arial"/>
                <w:b/>
                <w:sz w:val="22"/>
                <w:szCs w:val="22"/>
              </w:rPr>
              <w:t>Base: P</w:t>
            </w:r>
            <w:r w:rsidRPr="00A971DA">
              <w:rPr>
                <w:rFonts w:ascii="Arial" w:eastAsia="MS Mincho" w:hAnsi="Arial"/>
                <w:b/>
                <w:sz w:val="14"/>
                <w:szCs w:val="22"/>
              </w:rPr>
              <w:t>BS</w:t>
            </w:r>
            <w:r w:rsidRPr="00A971DA">
              <w:rPr>
                <w:rFonts w:ascii="Arial" w:eastAsia="MS Mincho" w:hAnsi="Arial"/>
                <w:b/>
                <w:sz w:val="22"/>
                <w:szCs w:val="22"/>
              </w:rPr>
              <w:t xml:space="preserve"> (mA)</w:t>
            </w:r>
          </w:p>
        </w:tc>
        <w:tc>
          <w:tcPr>
            <w:tcW w:w="2614"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20</w:t>
            </w:r>
          </w:p>
        </w:tc>
        <w:tc>
          <w:tcPr>
            <w:tcW w:w="2614"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20</w:t>
            </w:r>
          </w:p>
        </w:tc>
        <w:tc>
          <w:tcPr>
            <w:tcW w:w="2615"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5</w:t>
            </w:r>
          </w:p>
        </w:tc>
      </w:tr>
    </w:tbl>
    <w:p w:rsidR="00A76FCF" w:rsidRPr="006E0447" w:rsidRDefault="00A76FCF" w:rsidP="00A76FCF">
      <w:pPr>
        <w:jc w:val="both"/>
        <w:rPr>
          <w:rFonts w:ascii="Arial" w:eastAsia="SimSun" w:hAnsi="Arial" w:cs="Arial"/>
          <w:sz w:val="28"/>
          <w:lang w:eastAsia="ja-JP"/>
        </w:rPr>
      </w:pPr>
    </w:p>
    <w:tbl>
      <w:tblPr>
        <w:tblStyle w:val="TableGrid"/>
        <w:tblW w:w="0" w:type="auto"/>
        <w:tblLook w:val="04A0" w:firstRow="1" w:lastRow="0" w:firstColumn="1" w:lastColumn="0" w:noHBand="0" w:noVBand="1"/>
      </w:tblPr>
      <w:tblGrid>
        <w:gridCol w:w="3485"/>
        <w:gridCol w:w="3486"/>
        <w:gridCol w:w="3486"/>
      </w:tblGrid>
      <w:tr w:rsidR="006E0447" w:rsidRPr="006E0447" w:rsidTr="00A76FCF">
        <w:tc>
          <w:tcPr>
            <w:tcW w:w="3485" w:type="dxa"/>
          </w:tcPr>
          <w:p w:rsidR="00A76FCF" w:rsidRPr="006E0447" w:rsidRDefault="00A76FCF" w:rsidP="00A76FCF">
            <w:pPr>
              <w:rPr>
                <w:rFonts w:ascii="Arial" w:eastAsia="MS Mincho" w:hAnsi="Arial"/>
                <w:b/>
                <w:sz w:val="22"/>
                <w:szCs w:val="22"/>
              </w:rPr>
            </w:pPr>
            <w:r w:rsidRPr="006E0447">
              <w:rPr>
                <w:rFonts w:ascii="Arial" w:eastAsia="MS Mincho" w:hAnsi="Arial"/>
                <w:b/>
                <w:bCs/>
                <w:sz w:val="22"/>
                <w:szCs w:val="22"/>
              </w:rPr>
              <w:t>Module Power (mA)</w:t>
            </w:r>
          </w:p>
        </w:tc>
        <w:tc>
          <w:tcPr>
            <w:tcW w:w="3486" w:type="dxa"/>
          </w:tcPr>
          <w:p w:rsidR="00A76FCF" w:rsidRPr="006E0447" w:rsidRDefault="00A76FCF" w:rsidP="00A76FCF">
            <w:pPr>
              <w:pStyle w:val="NormalWeb"/>
              <w:spacing w:before="0" w:beforeAutospacing="0" w:after="180" w:afterAutospacing="0"/>
              <w:rPr>
                <w:rFonts w:ascii="Arial" w:eastAsia="MS Mincho" w:hAnsi="Arial"/>
                <w:b/>
                <w:sz w:val="22"/>
                <w:szCs w:val="22"/>
                <w:lang w:eastAsia="zh-TW"/>
              </w:rPr>
            </w:pPr>
            <w:r w:rsidRPr="006E0447">
              <w:rPr>
                <w:rFonts w:ascii="Arial" w:eastAsia="MS Mincho" w:hAnsi="Arial"/>
                <w:b/>
                <w:sz w:val="22"/>
                <w:szCs w:val="22"/>
                <w:lang w:eastAsia="zh-TW"/>
              </w:rPr>
              <w:t>Modem : P</w:t>
            </w:r>
            <w:r w:rsidRPr="006E0447">
              <w:rPr>
                <w:rFonts w:ascii="Arial" w:eastAsia="MS Mincho" w:hAnsi="Arial"/>
                <w:b/>
                <w:sz w:val="14"/>
                <w:szCs w:val="22"/>
                <w:lang w:eastAsia="zh-TW"/>
              </w:rPr>
              <w:t>MD</w:t>
            </w:r>
          </w:p>
        </w:tc>
        <w:tc>
          <w:tcPr>
            <w:tcW w:w="3486" w:type="dxa"/>
          </w:tcPr>
          <w:p w:rsidR="00A76FCF" w:rsidRPr="006E0447" w:rsidRDefault="00A76FCF" w:rsidP="00A76FCF">
            <w:pPr>
              <w:pStyle w:val="NormalWeb"/>
              <w:spacing w:before="0" w:beforeAutospacing="0" w:after="180" w:afterAutospacing="0"/>
              <w:rPr>
                <w:rFonts w:ascii="Arial" w:eastAsia="MS Mincho" w:hAnsi="Arial"/>
                <w:b/>
                <w:sz w:val="22"/>
                <w:szCs w:val="22"/>
                <w:lang w:eastAsia="zh-TW"/>
              </w:rPr>
            </w:pPr>
            <w:r w:rsidRPr="006E0447">
              <w:rPr>
                <w:rFonts w:ascii="Arial" w:eastAsia="MS Mincho" w:hAnsi="Arial"/>
                <w:b/>
                <w:sz w:val="22"/>
                <w:szCs w:val="22"/>
                <w:lang w:eastAsia="zh-TW"/>
              </w:rPr>
              <w:t>RF (Rx) : P</w:t>
            </w:r>
            <w:r w:rsidRPr="006E0447">
              <w:rPr>
                <w:rFonts w:ascii="Arial" w:eastAsia="MS Mincho" w:hAnsi="Arial"/>
                <w:b/>
                <w:sz w:val="14"/>
                <w:szCs w:val="22"/>
                <w:lang w:eastAsia="zh-TW"/>
              </w:rPr>
              <w:t>RF</w:t>
            </w:r>
          </w:p>
        </w:tc>
      </w:tr>
      <w:tr w:rsidR="006E0447" w:rsidRPr="006E0447" w:rsidTr="00A76FCF">
        <w:tc>
          <w:tcPr>
            <w:tcW w:w="3485" w:type="dxa"/>
          </w:tcPr>
          <w:p w:rsidR="00A76FCF" w:rsidRPr="006E0447" w:rsidRDefault="00A76FCF" w:rsidP="008C6AB3">
            <w:pPr>
              <w:spacing w:after="60"/>
              <w:rPr>
                <w:rFonts w:ascii="Arial" w:hAnsi="Arial" w:cs="Arial"/>
                <w:sz w:val="22"/>
                <w:szCs w:val="22"/>
                <w:lang w:eastAsia="ko-KR"/>
              </w:rPr>
            </w:pPr>
            <w:r w:rsidRPr="006E0447">
              <w:rPr>
                <w:rFonts w:ascii="Arial" w:hAnsi="Arial" w:cs="Arial"/>
                <w:sz w:val="22"/>
                <w:szCs w:val="22"/>
                <w:lang w:eastAsia="ko-KR"/>
              </w:rPr>
              <w:t>LTE</w:t>
            </w:r>
          </w:p>
        </w:tc>
        <w:tc>
          <w:tcPr>
            <w:tcW w:w="3486" w:type="dxa"/>
          </w:tcPr>
          <w:p w:rsidR="00A76FCF" w:rsidRPr="006E0447" w:rsidRDefault="00565C75" w:rsidP="008C6AB3">
            <w:pPr>
              <w:spacing w:after="60"/>
              <w:rPr>
                <w:rFonts w:ascii="Arial" w:hAnsi="Arial" w:cs="Arial"/>
                <w:sz w:val="22"/>
                <w:szCs w:val="22"/>
                <w:lang w:eastAsia="ko-KR"/>
              </w:rPr>
            </w:pPr>
            <w:r w:rsidRPr="006E0447">
              <w:rPr>
                <w:rFonts w:ascii="Arial" w:hAnsi="Arial" w:cs="Arial"/>
                <w:sz w:val="22"/>
                <w:szCs w:val="22"/>
                <w:lang w:eastAsia="ko-KR"/>
              </w:rPr>
              <w:t>80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MD1</w:t>
            </w:r>
            <w:r w:rsidR="009E0027" w:rsidRPr="006E0447">
              <w:rPr>
                <w:rFonts w:ascii="Arial" w:hAnsi="Arial" w:cs="Arial"/>
                <w:sz w:val="22"/>
                <w:szCs w:val="22"/>
                <w:lang w:eastAsia="ko-KR"/>
              </w:rPr>
              <w:t>)</w:t>
            </w:r>
          </w:p>
        </w:tc>
        <w:tc>
          <w:tcPr>
            <w:tcW w:w="3486" w:type="dxa"/>
          </w:tcPr>
          <w:p w:rsidR="00A76FCF" w:rsidRPr="006E0447" w:rsidRDefault="00565C75" w:rsidP="008C6AB3">
            <w:pPr>
              <w:spacing w:after="60"/>
              <w:rPr>
                <w:rFonts w:ascii="Arial" w:hAnsi="Arial" w:cs="Arial"/>
                <w:sz w:val="22"/>
                <w:szCs w:val="22"/>
                <w:lang w:eastAsia="ko-KR"/>
              </w:rPr>
            </w:pPr>
            <w:r w:rsidRPr="006E0447">
              <w:rPr>
                <w:rFonts w:ascii="Arial" w:hAnsi="Arial" w:cs="Arial"/>
                <w:sz w:val="22"/>
                <w:szCs w:val="22"/>
                <w:lang w:eastAsia="ko-KR"/>
              </w:rPr>
              <w:t>40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RF1</w:t>
            </w:r>
            <w:r w:rsidR="009E0027" w:rsidRPr="006E0447">
              <w:rPr>
                <w:rFonts w:ascii="Arial" w:hAnsi="Arial" w:cs="Arial"/>
                <w:sz w:val="22"/>
                <w:szCs w:val="22"/>
                <w:lang w:eastAsia="ko-KR"/>
              </w:rPr>
              <w:t>)</w:t>
            </w:r>
          </w:p>
        </w:tc>
      </w:tr>
      <w:tr w:rsidR="006E0447" w:rsidRPr="006E0447" w:rsidTr="00A76FCF">
        <w:tc>
          <w:tcPr>
            <w:tcW w:w="3485" w:type="dxa"/>
          </w:tcPr>
          <w:p w:rsidR="00A76FCF" w:rsidRPr="006E0447" w:rsidRDefault="00A76FCF" w:rsidP="008C6AB3">
            <w:pPr>
              <w:spacing w:after="60"/>
              <w:rPr>
                <w:rFonts w:ascii="Arial" w:hAnsi="Arial" w:cs="Arial"/>
                <w:sz w:val="22"/>
                <w:szCs w:val="22"/>
                <w:lang w:eastAsia="ko-KR"/>
              </w:rPr>
            </w:pPr>
            <w:r w:rsidRPr="006E0447">
              <w:rPr>
                <w:rFonts w:ascii="Arial" w:hAnsi="Arial" w:cs="Arial"/>
                <w:sz w:val="22"/>
                <w:szCs w:val="22"/>
                <w:lang w:eastAsia="ko-KR"/>
              </w:rPr>
              <w:t>NR sub-6</w:t>
            </w:r>
          </w:p>
        </w:tc>
        <w:tc>
          <w:tcPr>
            <w:tcW w:w="3486" w:type="dxa"/>
          </w:tcPr>
          <w:p w:rsidR="00A76FCF" w:rsidRPr="006E0447" w:rsidRDefault="00565C75" w:rsidP="009E0027">
            <w:pPr>
              <w:spacing w:after="60"/>
              <w:rPr>
                <w:rFonts w:ascii="Arial" w:hAnsi="Arial" w:cs="Arial"/>
                <w:sz w:val="22"/>
                <w:szCs w:val="22"/>
                <w:lang w:eastAsia="ko-KR"/>
              </w:rPr>
            </w:pPr>
            <w:r w:rsidRPr="006E0447">
              <w:rPr>
                <w:rFonts w:ascii="Arial" w:hAnsi="Arial" w:cs="Arial"/>
                <w:sz w:val="22"/>
                <w:szCs w:val="22"/>
                <w:lang w:eastAsia="ko-KR"/>
              </w:rPr>
              <w:t>100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MD2</w:t>
            </w:r>
            <w:r w:rsidR="009E0027" w:rsidRPr="006E0447">
              <w:rPr>
                <w:rFonts w:ascii="Arial" w:hAnsi="Arial" w:cs="Arial"/>
                <w:sz w:val="22"/>
                <w:szCs w:val="22"/>
                <w:lang w:eastAsia="ko-KR"/>
              </w:rPr>
              <w:t>)</w:t>
            </w:r>
          </w:p>
        </w:tc>
        <w:tc>
          <w:tcPr>
            <w:tcW w:w="3486" w:type="dxa"/>
          </w:tcPr>
          <w:p w:rsidR="00A76FCF" w:rsidRPr="006E0447" w:rsidRDefault="00565C75" w:rsidP="009E0027">
            <w:pPr>
              <w:spacing w:after="60"/>
              <w:rPr>
                <w:rFonts w:ascii="Arial" w:hAnsi="Arial" w:cs="Arial"/>
                <w:sz w:val="22"/>
                <w:szCs w:val="22"/>
                <w:lang w:eastAsia="ko-KR"/>
              </w:rPr>
            </w:pPr>
            <w:r w:rsidRPr="006E0447">
              <w:rPr>
                <w:rFonts w:ascii="Arial" w:hAnsi="Arial" w:cs="Arial"/>
                <w:sz w:val="22"/>
                <w:szCs w:val="22"/>
                <w:lang w:eastAsia="ko-KR"/>
              </w:rPr>
              <w:t>50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RF2</w:t>
            </w:r>
            <w:r w:rsidR="009E0027" w:rsidRPr="006E0447">
              <w:rPr>
                <w:rFonts w:ascii="Arial" w:hAnsi="Arial" w:cs="Arial"/>
                <w:sz w:val="22"/>
                <w:szCs w:val="22"/>
                <w:lang w:eastAsia="ko-KR"/>
              </w:rPr>
              <w:t>)</w:t>
            </w:r>
          </w:p>
        </w:tc>
      </w:tr>
      <w:tr w:rsidR="00A76FCF" w:rsidRPr="006E0447" w:rsidTr="00A76FCF">
        <w:tc>
          <w:tcPr>
            <w:tcW w:w="3485" w:type="dxa"/>
          </w:tcPr>
          <w:p w:rsidR="00A76FCF" w:rsidRPr="006E0447" w:rsidRDefault="00A76FCF" w:rsidP="008C6AB3">
            <w:pPr>
              <w:spacing w:after="60"/>
              <w:rPr>
                <w:rFonts w:ascii="Arial" w:hAnsi="Arial" w:cs="Arial"/>
                <w:sz w:val="22"/>
                <w:szCs w:val="22"/>
                <w:lang w:eastAsia="ko-KR"/>
              </w:rPr>
            </w:pPr>
            <w:r w:rsidRPr="006E0447">
              <w:rPr>
                <w:rFonts w:ascii="Arial" w:hAnsi="Arial" w:cs="Arial"/>
                <w:sz w:val="22"/>
                <w:szCs w:val="22"/>
                <w:lang w:eastAsia="ko-KR"/>
              </w:rPr>
              <w:t>LTE+ NR sub-6</w:t>
            </w:r>
          </w:p>
        </w:tc>
        <w:tc>
          <w:tcPr>
            <w:tcW w:w="3486" w:type="dxa"/>
          </w:tcPr>
          <w:p w:rsidR="00A76FCF" w:rsidRPr="006E0447" w:rsidRDefault="00565C75" w:rsidP="009E0027">
            <w:pPr>
              <w:spacing w:after="60"/>
              <w:rPr>
                <w:rFonts w:ascii="Arial" w:hAnsi="Arial" w:cs="Arial"/>
                <w:sz w:val="22"/>
                <w:szCs w:val="22"/>
                <w:lang w:eastAsia="ko-KR"/>
              </w:rPr>
            </w:pPr>
            <w:r w:rsidRPr="006E0447">
              <w:rPr>
                <w:rFonts w:ascii="Arial" w:hAnsi="Arial" w:cs="Arial"/>
                <w:sz w:val="22"/>
                <w:szCs w:val="22"/>
                <w:lang w:eastAsia="ko-KR"/>
              </w:rPr>
              <w:t>160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MD3</w:t>
            </w:r>
            <w:r w:rsidR="009E0027" w:rsidRPr="006E0447">
              <w:rPr>
                <w:rFonts w:ascii="Arial" w:hAnsi="Arial" w:cs="Arial"/>
                <w:sz w:val="22"/>
                <w:szCs w:val="22"/>
                <w:lang w:eastAsia="ko-KR"/>
              </w:rPr>
              <w:t>)</w:t>
            </w:r>
          </w:p>
        </w:tc>
        <w:tc>
          <w:tcPr>
            <w:tcW w:w="3486" w:type="dxa"/>
          </w:tcPr>
          <w:p w:rsidR="00A76FCF" w:rsidRPr="006E0447" w:rsidRDefault="00565C75" w:rsidP="009E0027">
            <w:pPr>
              <w:spacing w:after="60"/>
              <w:rPr>
                <w:rFonts w:ascii="Arial" w:hAnsi="Arial" w:cs="Arial"/>
                <w:sz w:val="22"/>
                <w:szCs w:val="22"/>
                <w:lang w:eastAsia="ko-KR"/>
              </w:rPr>
            </w:pPr>
            <w:r w:rsidRPr="006E0447">
              <w:rPr>
                <w:rFonts w:ascii="Arial" w:hAnsi="Arial" w:cs="Arial"/>
                <w:sz w:val="22"/>
                <w:szCs w:val="22"/>
                <w:lang w:eastAsia="ko-KR"/>
              </w:rPr>
              <w:t>80</w:t>
            </w:r>
            <w:r w:rsidR="009E0027" w:rsidRPr="006E0447">
              <w:rPr>
                <w:rFonts w:ascii="Arial" w:hAnsi="Arial" w:cs="Arial"/>
                <w:sz w:val="22"/>
                <w:szCs w:val="22"/>
                <w:lang w:eastAsia="ko-KR"/>
              </w:rPr>
              <w:t xml:space="preserve"> (P</w:t>
            </w:r>
            <w:r w:rsidR="009E0027" w:rsidRPr="006E0447">
              <w:rPr>
                <w:rFonts w:ascii="Arial" w:hAnsi="Arial" w:cs="Arial"/>
                <w:sz w:val="12"/>
                <w:szCs w:val="22"/>
                <w:lang w:eastAsia="ko-KR"/>
              </w:rPr>
              <w:t>RF3</w:t>
            </w:r>
            <w:r w:rsidR="009E0027" w:rsidRPr="006E0447">
              <w:rPr>
                <w:rFonts w:ascii="Arial" w:hAnsi="Arial" w:cs="Arial"/>
                <w:sz w:val="22"/>
                <w:szCs w:val="22"/>
                <w:lang w:eastAsia="ko-KR"/>
              </w:rPr>
              <w:t>)</w:t>
            </w:r>
          </w:p>
        </w:tc>
      </w:tr>
    </w:tbl>
    <w:p w:rsidR="002D7F97" w:rsidRPr="006E0447" w:rsidRDefault="002D7F97" w:rsidP="008C6AB3">
      <w:pPr>
        <w:spacing w:after="60"/>
        <w:rPr>
          <w:rFonts w:ascii="Arial" w:hAnsi="Arial" w:cs="Arial"/>
          <w:sz w:val="22"/>
          <w:szCs w:val="22"/>
          <w:lang w:eastAsia="ko-KR"/>
        </w:rPr>
      </w:pPr>
    </w:p>
    <w:p w:rsidR="0018308E" w:rsidRPr="006E0447" w:rsidRDefault="0018308E" w:rsidP="0018308E">
      <w:pPr>
        <w:jc w:val="both"/>
        <w:rPr>
          <w:rFonts w:ascii="Arial" w:eastAsia="SimSun" w:hAnsi="Arial" w:cs="Arial"/>
          <w:sz w:val="28"/>
          <w:lang w:eastAsia="ja-JP"/>
        </w:rPr>
      </w:pPr>
      <w:r w:rsidRPr="006E0447">
        <w:rPr>
          <w:rFonts w:ascii="Arial" w:eastAsia="SimSun" w:hAnsi="Arial" w:cs="Arial"/>
          <w:sz w:val="28"/>
          <w:lang w:eastAsia="ja-JP"/>
        </w:rPr>
        <w:t>4.3 UE Power Consumption Calculation</w:t>
      </w:r>
    </w:p>
    <w:p w:rsidR="0018308E" w:rsidRPr="006E0447" w:rsidRDefault="0018308E" w:rsidP="0018308E">
      <w:pPr>
        <w:jc w:val="both"/>
        <w:rPr>
          <w:rFonts w:ascii="Arial" w:eastAsia="SimSun" w:hAnsi="Arial" w:cs="Arial"/>
          <w:sz w:val="22"/>
          <w:szCs w:val="22"/>
          <w:lang w:eastAsia="ja-JP"/>
        </w:rPr>
      </w:pPr>
      <w:r w:rsidRPr="006E0447">
        <w:rPr>
          <w:rFonts w:ascii="Arial" w:eastAsia="SimSun" w:hAnsi="Arial" w:cs="Arial"/>
          <w:sz w:val="22"/>
          <w:szCs w:val="22"/>
          <w:lang w:eastAsia="ja-JP"/>
        </w:rPr>
        <w:t>UE power consumption in one DRX cycle</w:t>
      </w:r>
    </w:p>
    <w:p w:rsidR="0018308E" w:rsidRPr="006E0447" w:rsidRDefault="0018308E" w:rsidP="0018308E">
      <w:pPr>
        <w:jc w:val="both"/>
        <w:rPr>
          <w:rFonts w:ascii="Arial" w:eastAsia="SimSun" w:hAnsi="Arial" w:cs="Arial"/>
          <w:sz w:val="22"/>
          <w:szCs w:val="22"/>
          <w:lang w:eastAsia="ja-JP"/>
        </w:rPr>
      </w:pPr>
      <w:r w:rsidRPr="006E0447">
        <w:rPr>
          <w:rFonts w:ascii="Arial" w:eastAsia="SimSun" w:hAnsi="Arial" w:cs="Arial"/>
          <w:sz w:val="22"/>
          <w:szCs w:val="22"/>
          <w:lang w:eastAsia="ja-JP"/>
        </w:rPr>
        <w:t>Case 1:</w:t>
      </w:r>
    </w:p>
    <w:p w:rsidR="0054261F" w:rsidRPr="006E0447" w:rsidRDefault="00271F77" w:rsidP="0054261F">
      <w:pPr>
        <w:numPr>
          <w:ilvl w:val="1"/>
          <w:numId w:val="46"/>
        </w:numPr>
        <w:jc w:val="both"/>
        <w:rPr>
          <w:rFonts w:ascii="Arial" w:eastAsia="SimSun" w:hAnsi="Arial" w:cs="Arial"/>
          <w:sz w:val="28"/>
          <w:lang w:eastAsia="ja-JP"/>
        </w:rPr>
      </w:pPr>
      <m:oMath>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non-align</m:t>
            </m:r>
          </m:sub>
        </m:sSub>
        <m:r>
          <w:rPr>
            <w:rFonts w:ascii="Cambria Math" w:eastAsia="SimSun" w:hAnsi="Cambria Math" w:cs="Arial"/>
            <w:sz w:val="28"/>
            <w:lang w:eastAsia="ja-JP"/>
          </w:rPr>
          <m:t>=</m:t>
        </m:r>
        <m:f>
          <m:fPr>
            <m:ctrlPr>
              <w:rPr>
                <w:rFonts w:ascii="Cambria Math" w:eastAsia="SimSun" w:hAnsi="Cambria Math" w:cs="Arial"/>
                <w:i/>
                <w:sz w:val="28"/>
                <w:lang w:eastAsia="ja-JP"/>
              </w:rPr>
            </m:ctrlPr>
          </m:fPr>
          <m:num>
            <m:r>
              <w:rPr>
                <w:rFonts w:ascii="Cambria Math" w:eastAsia="SimSun" w:hAnsi="Cambria Math" w:cs="Arial"/>
                <w:sz w:val="28"/>
                <w:lang w:eastAsia="ja-JP"/>
              </w:rPr>
              <m:t>1</m:t>
            </m:r>
          </m:num>
          <m:den>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den>
        </m:f>
        <m:r>
          <w:rPr>
            <w:rFonts w:ascii="Cambria Math" w:eastAsia="SimSun" w:hAnsi="Cambria Math" w:cs="Arial"/>
            <w:sz w:val="28"/>
            <w:lang w:eastAsia="ja-JP"/>
          </w:rPr>
          <m:t>*</m:t>
        </m:r>
        <m:d>
          <m:dPr>
            <m:begChr m:val="["/>
            <m:endChr m:val="]"/>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BS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RF1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e>
            </m:d>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RF2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NR_DRX</m:t>
                    </m:r>
                  </m:sub>
                </m:sSub>
              </m:e>
            </m:d>
            <m:r>
              <m:rPr>
                <m:sty m:val="p"/>
              </m:rP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MD1 </m:t>
                </m:r>
              </m:sub>
            </m:sSub>
            <m:r>
              <w:rPr>
                <w:rFonts w:ascii="Cambria Math" w:eastAsia="SimSun" w:hAnsi="Cambria Math" w:cs="Arial"/>
                <w:sz w:val="28"/>
                <w:lang w:eastAsia="ja-JP"/>
              </w:rPr>
              <m:t>*</m:t>
            </m:r>
            <m:r>
              <m:rPr>
                <m:nor/>
              </m:rPr>
              <w:rPr>
                <w:rFonts w:ascii="Arial" w:eastAsia="SimSun" w:hAnsi="Arial" w:cs="Arial"/>
                <w:sz w:val="28"/>
                <w:lang w:eastAsia="ja-JP"/>
              </w:rPr>
              <m:t> </m:t>
            </m:r>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MD2 </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NR_DRX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m:t>
            </m:r>
          </m:e>
        </m:d>
      </m:oMath>
    </w:p>
    <w:p w:rsidR="0054261F" w:rsidRPr="006E0447" w:rsidRDefault="0054261F" w:rsidP="0018308E">
      <w:pPr>
        <w:jc w:val="both"/>
        <w:rPr>
          <w:rFonts w:ascii="Arial" w:eastAsia="SimSun" w:hAnsi="Arial" w:cs="Arial"/>
          <w:sz w:val="22"/>
          <w:szCs w:val="22"/>
          <w:lang w:eastAsia="ja-JP"/>
        </w:rPr>
      </w:pPr>
    </w:p>
    <w:p w:rsidR="0018308E" w:rsidRPr="006E0447" w:rsidRDefault="0018308E" w:rsidP="0018308E">
      <w:pPr>
        <w:jc w:val="both"/>
        <w:rPr>
          <w:rFonts w:ascii="Arial" w:eastAsia="SimSun" w:hAnsi="Arial" w:cs="Arial"/>
          <w:sz w:val="22"/>
          <w:szCs w:val="22"/>
          <w:lang w:eastAsia="ja-JP"/>
        </w:rPr>
      </w:pPr>
      <w:r w:rsidRPr="006E0447">
        <w:rPr>
          <w:rFonts w:ascii="Arial" w:eastAsia="SimSun" w:hAnsi="Arial" w:cs="Arial"/>
          <w:sz w:val="22"/>
          <w:szCs w:val="22"/>
          <w:lang w:eastAsia="ja-JP"/>
        </w:rPr>
        <w:t xml:space="preserve">Case 2: </w:t>
      </w:r>
    </w:p>
    <w:p w:rsidR="0054261F" w:rsidRPr="006E0447" w:rsidRDefault="00271F77" w:rsidP="0054261F">
      <w:pPr>
        <w:numPr>
          <w:ilvl w:val="1"/>
          <w:numId w:val="46"/>
        </w:numPr>
        <w:jc w:val="both"/>
        <w:rPr>
          <w:rFonts w:ascii="Arial" w:eastAsia="SimSun" w:hAnsi="Arial" w:cs="Arial"/>
          <w:sz w:val="28"/>
          <w:lang w:eastAsia="ja-JP"/>
        </w:rPr>
      </w:pPr>
      <m:oMath>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align</m:t>
            </m:r>
          </m:sub>
        </m:sSub>
        <m:r>
          <w:rPr>
            <w:rFonts w:ascii="Cambria Math" w:eastAsia="SimSun" w:hAnsi="Cambria Math" w:cs="Arial"/>
            <w:sz w:val="28"/>
            <w:lang w:eastAsia="ja-JP"/>
          </w:rPr>
          <m:t>=</m:t>
        </m:r>
        <m:f>
          <m:fPr>
            <m:ctrlPr>
              <w:rPr>
                <w:rFonts w:ascii="Cambria Math" w:eastAsia="SimSun" w:hAnsi="Cambria Math" w:cs="Arial"/>
                <w:i/>
                <w:sz w:val="28"/>
                <w:lang w:eastAsia="ja-JP"/>
              </w:rPr>
            </m:ctrlPr>
          </m:fPr>
          <m:num>
            <m:r>
              <w:rPr>
                <w:rFonts w:ascii="Cambria Math" w:eastAsia="SimSun" w:hAnsi="Cambria Math" w:cs="Arial"/>
                <w:sz w:val="28"/>
                <w:lang w:eastAsia="ja-JP"/>
              </w:rPr>
              <m:t>1</m:t>
            </m:r>
          </m:num>
          <m:den>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den>
        </m:f>
        <m:r>
          <w:rPr>
            <w:rFonts w:ascii="Cambria Math" w:eastAsia="SimSun" w:hAnsi="Cambria Math" w:cs="Arial"/>
            <w:sz w:val="28"/>
            <w:lang w:eastAsia="ja-JP"/>
          </w:rPr>
          <m:t>*</m:t>
        </m:r>
        <m:d>
          <m:dPr>
            <m:begChr m:val="["/>
            <m:endChr m:val="]"/>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BS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RF3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e>
            </m:d>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RF2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e>
            </m:d>
            <m:r>
              <m:rPr>
                <m:sty m:val="p"/>
              </m:rP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MD3 </m:t>
                </m:r>
              </m:sub>
            </m:sSub>
            <m:r>
              <w:rPr>
                <w:rFonts w:ascii="Cambria Math" w:eastAsia="SimSun" w:hAnsi="Cambria Math" w:cs="Arial"/>
                <w:sz w:val="28"/>
                <w:lang w:eastAsia="ja-JP"/>
              </w:rPr>
              <m:t>*</m:t>
            </m:r>
            <m:r>
              <m:rPr>
                <m:nor/>
              </m:rPr>
              <w:rPr>
                <w:rFonts w:ascii="Arial" w:eastAsia="SimSun" w:hAnsi="Arial" w:cs="Arial"/>
                <w:sz w:val="28"/>
                <w:lang w:eastAsia="ja-JP"/>
              </w:rPr>
              <m:t> </m:t>
            </m:r>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MD2 </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e>
        </m:d>
      </m:oMath>
    </w:p>
    <w:p w:rsidR="0018308E" w:rsidRPr="0018308E" w:rsidRDefault="0018308E" w:rsidP="0018308E">
      <w:pPr>
        <w:jc w:val="both"/>
        <w:rPr>
          <w:rFonts w:ascii="Arial" w:eastAsia="SimSun" w:hAnsi="Arial" w:cs="Arial"/>
          <w:sz w:val="28"/>
          <w:lang w:eastAsia="ja-JP"/>
        </w:rPr>
      </w:pPr>
      <w:bookmarkStart w:id="3" w:name="_GoBack"/>
      <w:bookmarkEnd w:id="3"/>
    </w:p>
    <w:sectPr w:rsidR="0018308E" w:rsidRPr="0018308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F77" w:rsidRDefault="00271F77" w:rsidP="00927901">
      <w:r>
        <w:separator/>
      </w:r>
    </w:p>
  </w:endnote>
  <w:endnote w:type="continuationSeparator" w:id="0">
    <w:p w:rsidR="00271F77" w:rsidRDefault="00271F77" w:rsidP="0092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F77" w:rsidRDefault="00271F77" w:rsidP="00927901">
      <w:r>
        <w:separator/>
      </w:r>
    </w:p>
  </w:footnote>
  <w:footnote w:type="continuationSeparator" w:id="0">
    <w:p w:rsidR="00271F77" w:rsidRDefault="00271F77" w:rsidP="009279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B5FF0"/>
    <w:multiLevelType w:val="hybridMultilevel"/>
    <w:tmpl w:val="815C298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4FA0"/>
    <w:multiLevelType w:val="hybridMultilevel"/>
    <w:tmpl w:val="FE9AD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CB0363"/>
    <w:multiLevelType w:val="hybridMultilevel"/>
    <w:tmpl w:val="B2B44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B7B21"/>
    <w:multiLevelType w:val="hybridMultilevel"/>
    <w:tmpl w:val="03AE9878"/>
    <w:lvl w:ilvl="0" w:tplc="CC9E5A44">
      <w:start w:val="1"/>
      <w:numFmt w:val="bullet"/>
      <w:lvlText w:val="•"/>
      <w:lvlJc w:val="left"/>
      <w:pPr>
        <w:tabs>
          <w:tab w:val="num" w:pos="720"/>
        </w:tabs>
        <w:ind w:left="720" w:hanging="360"/>
      </w:pPr>
      <w:rPr>
        <w:rFonts w:ascii="Arial" w:hAnsi="Arial" w:hint="default"/>
      </w:rPr>
    </w:lvl>
    <w:lvl w:ilvl="1" w:tplc="643A8254">
      <w:start w:val="1"/>
      <w:numFmt w:val="bullet"/>
      <w:lvlText w:val="•"/>
      <w:lvlJc w:val="left"/>
      <w:pPr>
        <w:tabs>
          <w:tab w:val="num" w:pos="1440"/>
        </w:tabs>
        <w:ind w:left="1440" w:hanging="360"/>
      </w:pPr>
      <w:rPr>
        <w:rFonts w:ascii="Arial" w:hAnsi="Arial" w:hint="default"/>
      </w:rPr>
    </w:lvl>
    <w:lvl w:ilvl="2" w:tplc="53961BF2" w:tentative="1">
      <w:start w:val="1"/>
      <w:numFmt w:val="bullet"/>
      <w:lvlText w:val="•"/>
      <w:lvlJc w:val="left"/>
      <w:pPr>
        <w:tabs>
          <w:tab w:val="num" w:pos="2160"/>
        </w:tabs>
        <w:ind w:left="2160" w:hanging="360"/>
      </w:pPr>
      <w:rPr>
        <w:rFonts w:ascii="Arial" w:hAnsi="Arial" w:hint="default"/>
      </w:rPr>
    </w:lvl>
    <w:lvl w:ilvl="3" w:tplc="9B0CAA68" w:tentative="1">
      <w:start w:val="1"/>
      <w:numFmt w:val="bullet"/>
      <w:lvlText w:val="•"/>
      <w:lvlJc w:val="left"/>
      <w:pPr>
        <w:tabs>
          <w:tab w:val="num" w:pos="2880"/>
        </w:tabs>
        <w:ind w:left="2880" w:hanging="360"/>
      </w:pPr>
      <w:rPr>
        <w:rFonts w:ascii="Arial" w:hAnsi="Arial" w:hint="default"/>
      </w:rPr>
    </w:lvl>
    <w:lvl w:ilvl="4" w:tplc="D3C6F8F2" w:tentative="1">
      <w:start w:val="1"/>
      <w:numFmt w:val="bullet"/>
      <w:lvlText w:val="•"/>
      <w:lvlJc w:val="left"/>
      <w:pPr>
        <w:tabs>
          <w:tab w:val="num" w:pos="3600"/>
        </w:tabs>
        <w:ind w:left="3600" w:hanging="360"/>
      </w:pPr>
      <w:rPr>
        <w:rFonts w:ascii="Arial" w:hAnsi="Arial" w:hint="default"/>
      </w:rPr>
    </w:lvl>
    <w:lvl w:ilvl="5" w:tplc="F8E6157A" w:tentative="1">
      <w:start w:val="1"/>
      <w:numFmt w:val="bullet"/>
      <w:lvlText w:val="•"/>
      <w:lvlJc w:val="left"/>
      <w:pPr>
        <w:tabs>
          <w:tab w:val="num" w:pos="4320"/>
        </w:tabs>
        <w:ind w:left="4320" w:hanging="360"/>
      </w:pPr>
      <w:rPr>
        <w:rFonts w:ascii="Arial" w:hAnsi="Arial" w:hint="default"/>
      </w:rPr>
    </w:lvl>
    <w:lvl w:ilvl="6" w:tplc="672A264A" w:tentative="1">
      <w:start w:val="1"/>
      <w:numFmt w:val="bullet"/>
      <w:lvlText w:val="•"/>
      <w:lvlJc w:val="left"/>
      <w:pPr>
        <w:tabs>
          <w:tab w:val="num" w:pos="5040"/>
        </w:tabs>
        <w:ind w:left="5040" w:hanging="360"/>
      </w:pPr>
      <w:rPr>
        <w:rFonts w:ascii="Arial" w:hAnsi="Arial" w:hint="default"/>
      </w:rPr>
    </w:lvl>
    <w:lvl w:ilvl="7" w:tplc="2DC2B960" w:tentative="1">
      <w:start w:val="1"/>
      <w:numFmt w:val="bullet"/>
      <w:lvlText w:val="•"/>
      <w:lvlJc w:val="left"/>
      <w:pPr>
        <w:tabs>
          <w:tab w:val="num" w:pos="5760"/>
        </w:tabs>
        <w:ind w:left="5760" w:hanging="360"/>
      </w:pPr>
      <w:rPr>
        <w:rFonts w:ascii="Arial" w:hAnsi="Arial" w:hint="default"/>
      </w:rPr>
    </w:lvl>
    <w:lvl w:ilvl="8" w:tplc="1B84FB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63E7E"/>
    <w:multiLevelType w:val="hybridMultilevel"/>
    <w:tmpl w:val="3834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5"/>
  </w:num>
  <w:num w:numId="4">
    <w:abstractNumId w:val="32"/>
  </w:num>
  <w:num w:numId="5">
    <w:abstractNumId w:val="19"/>
  </w:num>
  <w:num w:numId="6">
    <w:abstractNumId w:val="30"/>
  </w:num>
  <w:num w:numId="7">
    <w:abstractNumId w:val="31"/>
  </w:num>
  <w:num w:numId="8">
    <w:abstractNumId w:val="28"/>
  </w:num>
  <w:num w:numId="9">
    <w:abstractNumId w:val="4"/>
  </w:num>
  <w:num w:numId="10">
    <w:abstractNumId w:val="9"/>
  </w:num>
  <w:num w:numId="11">
    <w:abstractNumId w:val="34"/>
  </w:num>
  <w:num w:numId="12">
    <w:abstractNumId w:val="21"/>
  </w:num>
  <w:num w:numId="13">
    <w:abstractNumId w:val="2"/>
  </w:num>
  <w:num w:numId="14">
    <w:abstractNumId w:val="39"/>
  </w:num>
  <w:num w:numId="15">
    <w:abstractNumId w:val="8"/>
  </w:num>
  <w:num w:numId="16">
    <w:abstractNumId w:val="35"/>
  </w:num>
  <w:num w:numId="17">
    <w:abstractNumId w:val="10"/>
  </w:num>
  <w:num w:numId="18">
    <w:abstractNumId w:val="23"/>
  </w:num>
  <w:num w:numId="19">
    <w:abstractNumId w:val="11"/>
  </w:num>
  <w:num w:numId="20">
    <w:abstractNumId w:val="44"/>
  </w:num>
  <w:num w:numId="21">
    <w:abstractNumId w:val="37"/>
  </w:num>
  <w:num w:numId="22">
    <w:abstractNumId w:val="24"/>
  </w:num>
  <w:num w:numId="23">
    <w:abstractNumId w:val="29"/>
  </w:num>
  <w:num w:numId="24">
    <w:abstractNumId w:val="22"/>
  </w:num>
  <w:num w:numId="25">
    <w:abstractNumId w:val="45"/>
  </w:num>
  <w:num w:numId="26">
    <w:abstractNumId w:val="36"/>
  </w:num>
  <w:num w:numId="27">
    <w:abstractNumId w:val="3"/>
  </w:num>
  <w:num w:numId="28">
    <w:abstractNumId w:val="12"/>
  </w:num>
  <w:num w:numId="29">
    <w:abstractNumId w:val="38"/>
  </w:num>
  <w:num w:numId="30">
    <w:abstractNumId w:val="13"/>
  </w:num>
  <w:num w:numId="31">
    <w:abstractNumId w:val="7"/>
  </w:num>
  <w:num w:numId="32">
    <w:abstractNumId w:val="42"/>
  </w:num>
  <w:num w:numId="33">
    <w:abstractNumId w:val="17"/>
  </w:num>
  <w:num w:numId="34">
    <w:abstractNumId w:val="15"/>
  </w:num>
  <w:num w:numId="35">
    <w:abstractNumId w:val="20"/>
  </w:num>
  <w:num w:numId="36">
    <w:abstractNumId w:val="33"/>
  </w:num>
  <w:num w:numId="37">
    <w:abstractNumId w:val="40"/>
  </w:num>
  <w:num w:numId="38">
    <w:abstractNumId w:val="18"/>
  </w:num>
  <w:num w:numId="39">
    <w:abstractNumId w:val="1"/>
  </w:num>
  <w:num w:numId="40">
    <w:abstractNumId w:val="41"/>
  </w:num>
  <w:num w:numId="41">
    <w:abstractNumId w:val="43"/>
  </w:num>
  <w:num w:numId="42">
    <w:abstractNumId w:val="16"/>
  </w:num>
  <w:num w:numId="43">
    <w:abstractNumId w:val="26"/>
  </w:num>
  <w:num w:numId="44">
    <w:abstractNumId w:val="14"/>
  </w:num>
  <w:num w:numId="45">
    <w:abstractNumId w:val="27"/>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C5B27"/>
    <w:rsid w:val="000D35A9"/>
    <w:rsid w:val="001041CA"/>
    <w:rsid w:val="00106847"/>
    <w:rsid w:val="0016212A"/>
    <w:rsid w:val="001676FC"/>
    <w:rsid w:val="0018308E"/>
    <w:rsid w:val="001A6197"/>
    <w:rsid w:val="001B6495"/>
    <w:rsid w:val="001D22C0"/>
    <w:rsid w:val="001E393D"/>
    <w:rsid w:val="001F756C"/>
    <w:rsid w:val="00222258"/>
    <w:rsid w:val="0024505A"/>
    <w:rsid w:val="00261808"/>
    <w:rsid w:val="00271F77"/>
    <w:rsid w:val="002D4E17"/>
    <w:rsid w:val="002D7F97"/>
    <w:rsid w:val="002F5AEC"/>
    <w:rsid w:val="003072C8"/>
    <w:rsid w:val="00316397"/>
    <w:rsid w:val="00345700"/>
    <w:rsid w:val="00352EEC"/>
    <w:rsid w:val="00371B81"/>
    <w:rsid w:val="003926AD"/>
    <w:rsid w:val="003A30B7"/>
    <w:rsid w:val="00406977"/>
    <w:rsid w:val="004137F7"/>
    <w:rsid w:val="00414915"/>
    <w:rsid w:val="00432C07"/>
    <w:rsid w:val="0044443C"/>
    <w:rsid w:val="0045682E"/>
    <w:rsid w:val="004C457A"/>
    <w:rsid w:val="004F1922"/>
    <w:rsid w:val="0054261F"/>
    <w:rsid w:val="00565C75"/>
    <w:rsid w:val="005E22B0"/>
    <w:rsid w:val="005F0A2E"/>
    <w:rsid w:val="005F39AD"/>
    <w:rsid w:val="006116F0"/>
    <w:rsid w:val="006132B2"/>
    <w:rsid w:val="00642A7C"/>
    <w:rsid w:val="00647986"/>
    <w:rsid w:val="0066635A"/>
    <w:rsid w:val="006B08DF"/>
    <w:rsid w:val="006E0447"/>
    <w:rsid w:val="00707349"/>
    <w:rsid w:val="00744154"/>
    <w:rsid w:val="007D0157"/>
    <w:rsid w:val="00804B2B"/>
    <w:rsid w:val="00845DBE"/>
    <w:rsid w:val="0088478B"/>
    <w:rsid w:val="008C6AB3"/>
    <w:rsid w:val="00900EC5"/>
    <w:rsid w:val="00902A27"/>
    <w:rsid w:val="00927901"/>
    <w:rsid w:val="009E0027"/>
    <w:rsid w:val="00A11F76"/>
    <w:rsid w:val="00A55F40"/>
    <w:rsid w:val="00A65D18"/>
    <w:rsid w:val="00A720E5"/>
    <w:rsid w:val="00A75F41"/>
    <w:rsid w:val="00A76FCF"/>
    <w:rsid w:val="00A971DA"/>
    <w:rsid w:val="00AC78F5"/>
    <w:rsid w:val="00B476AD"/>
    <w:rsid w:val="00B503FA"/>
    <w:rsid w:val="00B6095A"/>
    <w:rsid w:val="00B64647"/>
    <w:rsid w:val="00B83FDF"/>
    <w:rsid w:val="00C2466B"/>
    <w:rsid w:val="00C34A84"/>
    <w:rsid w:val="00C5642C"/>
    <w:rsid w:val="00C6289E"/>
    <w:rsid w:val="00CB064F"/>
    <w:rsid w:val="00CC49E0"/>
    <w:rsid w:val="00CC7D2D"/>
    <w:rsid w:val="00D24B3E"/>
    <w:rsid w:val="00D24E9B"/>
    <w:rsid w:val="00D83A55"/>
    <w:rsid w:val="00DA47D7"/>
    <w:rsid w:val="00DE331A"/>
    <w:rsid w:val="00DF7E4E"/>
    <w:rsid w:val="00E0786D"/>
    <w:rsid w:val="00E7387E"/>
    <w:rsid w:val="00E77851"/>
    <w:rsid w:val="00E779F6"/>
    <w:rsid w:val="00EA3F64"/>
    <w:rsid w:val="00ED4D2F"/>
    <w:rsid w:val="00EE3D56"/>
    <w:rsid w:val="00F31132"/>
    <w:rsid w:val="00F700BA"/>
    <w:rsid w:val="00F940D9"/>
    <w:rsid w:val="00FB0BCC"/>
    <w:rsid w:val="00FD1CA0"/>
    <w:rsid w:val="00FF5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C75"/>
    <w:pPr>
      <w:spacing w:after="0" w:line="240" w:lineRule="auto"/>
    </w:pPr>
    <w:rPr>
      <w:rFonts w:ascii="Times New Roman" w:eastAsia="Times New Roman" w:hAnsi="Times New Roman" w:cs="Times New Roman"/>
      <w:sz w:val="24"/>
      <w:szCs w:val="24"/>
      <w:lang w:eastAsia="zh-TW"/>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pPr>
    <w:rPr>
      <w:rFonts w:eastAsia="Malgun Gothic"/>
      <w:sz w:val="20"/>
      <w:szCs w:val="20"/>
      <w:lang w:val="en-GB" w:eastAsia="en-US"/>
    </w:r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ind w:left="454" w:hanging="454"/>
    </w:pPr>
    <w:rPr>
      <w:rFonts w:eastAsia="Malgun Gothic"/>
      <w:sz w:val="16"/>
      <w:szCs w:val="20"/>
      <w:lang w:val="en-GB" w:eastAsia="en-US"/>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spacing w:after="180"/>
      <w:ind w:left="1135" w:hanging="851"/>
    </w:pPr>
    <w:rPr>
      <w:rFonts w:eastAsia="Malgun Gothic"/>
      <w:sz w:val="20"/>
      <w:szCs w:val="20"/>
      <w:lang w:val="en-GB" w:eastAsia="en-US"/>
    </w:rPr>
  </w:style>
  <w:style w:type="paragraph" w:styleId="TOC9">
    <w:name w:val="toc 9"/>
    <w:basedOn w:val="TOC8"/>
    <w:semiHidden/>
    <w:rsid w:val="008C6AB3"/>
    <w:pPr>
      <w:ind w:left="1418" w:hanging="1418"/>
    </w:pPr>
  </w:style>
  <w:style w:type="paragraph" w:customStyle="1" w:styleId="EX">
    <w:name w:val="EX"/>
    <w:basedOn w:val="Normal"/>
    <w:rsid w:val="008C6AB3"/>
    <w:pPr>
      <w:keepLines/>
      <w:spacing w:after="180"/>
      <w:ind w:left="1702" w:hanging="1418"/>
    </w:pPr>
    <w:rPr>
      <w:rFonts w:eastAsia="Malgun Gothic"/>
      <w:sz w:val="20"/>
      <w:szCs w:val="20"/>
      <w:lang w:val="en-GB" w:eastAsia="en-US"/>
    </w:rPr>
  </w:style>
  <w:style w:type="paragraph" w:customStyle="1" w:styleId="FP">
    <w:name w:val="FP"/>
    <w:basedOn w:val="Normal"/>
    <w:rsid w:val="008C6AB3"/>
    <w:rPr>
      <w:rFonts w:eastAsia="Malgun Gothic"/>
      <w:sz w:val="20"/>
      <w:szCs w:val="20"/>
      <w:lang w:val="en-GB" w:eastAsia="en-US"/>
    </w:r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spacing w:after="180"/>
    </w:pPr>
    <w:rPr>
      <w:rFonts w:eastAsia="Malgun Gothic"/>
      <w:noProof/>
      <w:sz w:val="20"/>
      <w:szCs w:val="20"/>
      <w:lang w:val="en-GB" w:eastAsia="en-US"/>
    </w:rPr>
  </w:style>
  <w:style w:type="paragraph" w:customStyle="1" w:styleId="TH">
    <w:name w:val="TH"/>
    <w:basedOn w:val="Normal"/>
    <w:link w:val="THChar"/>
    <w:rsid w:val="008C6AB3"/>
    <w:pPr>
      <w:keepNext/>
      <w:keepLines/>
      <w:spacing w:before="60" w:after="180"/>
      <w:jc w:val="center"/>
    </w:pPr>
    <w:rPr>
      <w:rFonts w:ascii="Arial" w:eastAsia="Malgun Gothic" w:hAnsi="Arial"/>
      <w:b/>
      <w:sz w:val="20"/>
      <w:szCs w:val="20"/>
      <w:lang w:val="en-GB" w:eastAsia="en-US"/>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pPr>
    <w:rPr>
      <w:rFonts w:ascii="Arial" w:eastAsia="Malgun Gothic" w:hAnsi="Arial"/>
      <w:sz w:val="18"/>
      <w:szCs w:val="20"/>
      <w:lang w:val="en-GB" w:eastAsia="en-US"/>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spacing w:after="180"/>
      <w:ind w:left="568" w:hanging="284"/>
    </w:pPr>
    <w:rPr>
      <w:rFonts w:eastAsia="Malgun Gothic"/>
      <w:sz w:val="20"/>
      <w:szCs w:val="20"/>
      <w:lang w:val="en-GB" w:eastAsia="en-US"/>
    </w:r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pPr>
      <w:spacing w:after="180"/>
    </w:pPr>
    <w:rPr>
      <w:rFonts w:eastAsia="Malgun Gothic"/>
      <w:sz w:val="20"/>
      <w:szCs w:val="20"/>
      <w:lang w:val="en-GB" w:eastAsia="en-US"/>
    </w:rPr>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pPr>
      <w:spacing w:after="180"/>
    </w:pPr>
    <w:rPr>
      <w:rFonts w:ascii="Tahoma" w:eastAsia="Malgun Gothic" w:hAnsi="Tahoma" w:cs="Tahoma"/>
      <w:sz w:val="16"/>
      <w:szCs w:val="16"/>
      <w:lang w:val="en-GB" w:eastAsia="en-US"/>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spacing w:after="180"/>
    </w:pPr>
    <w:rPr>
      <w:rFonts w:ascii="Tahoma" w:eastAsia="Malgun Gothic" w:hAnsi="Tahoma" w:cs="Tahoma"/>
      <w:sz w:val="20"/>
      <w:szCs w:val="20"/>
      <w:lang w:val="en-GB" w:eastAsia="en-US"/>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ind w:left="720"/>
    </w:pPr>
    <w:rPr>
      <w:rFonts w:ascii="Calibri" w:eastAsia="Calibri" w:hAnsi="Calibri"/>
      <w:sz w:val="22"/>
      <w:szCs w:val="22"/>
      <w:lang w:val="en-GB" w:eastAsia="en-US"/>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textAlignment w:val="baseline"/>
    </w:pPr>
    <w:rPr>
      <w:rFonts w:ascii="Arial" w:eastAsia="Malgun Gothic" w:hAnsi="Arial"/>
      <w:sz w:val="18"/>
      <w:szCs w:val="20"/>
      <w:lang w:val="en-GB"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ind w:left="1622" w:hanging="363"/>
    </w:pPr>
    <w:rPr>
      <w:rFonts w:ascii="Arial" w:eastAsia="MS Mincho" w:hAnsi="Arial"/>
      <w:sz w:val="20"/>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ind w:left="1260" w:hanging="1260"/>
    </w:pPr>
    <w:rPr>
      <w:rFonts w:ascii="Arial" w:eastAsia="MS Mincho" w:hAnsi="Arial"/>
      <w:sz w:val="20"/>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styleId="Caption">
    <w:name w:val="caption"/>
    <w:basedOn w:val="Normal"/>
    <w:next w:val="Normal"/>
    <w:unhideWhenUsed/>
    <w:qFormat/>
    <w:rsid w:val="008C6AB3"/>
    <w:pPr>
      <w:spacing w:after="200"/>
    </w:pPr>
    <w:rPr>
      <w:rFonts w:eastAsia="Malgun Gothic"/>
      <w:b/>
      <w:bCs/>
      <w:color w:val="4F81BD"/>
      <w:sz w:val="18"/>
      <w:szCs w:val="18"/>
      <w:lang w:val="en-GB" w:eastAsia="en-US"/>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hAnsi="Arial"/>
      <w:sz w:val="20"/>
      <w:szCs w:val="20"/>
      <w:lang w:val="en-GB"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rPr>
      <w:rFonts w:eastAsia="Malgun Gothic"/>
      <w:sz w:val="20"/>
      <w:szCs w:val="20"/>
      <w:lang w:val="en-GB" w:eastAsia="en-US"/>
    </w:r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lang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 w:val="20"/>
      <w:lang w:val="en-GB"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948499">
      <w:bodyDiv w:val="1"/>
      <w:marLeft w:val="0"/>
      <w:marRight w:val="0"/>
      <w:marTop w:val="0"/>
      <w:marBottom w:val="0"/>
      <w:divBdr>
        <w:top w:val="none" w:sz="0" w:space="0" w:color="auto"/>
        <w:left w:val="none" w:sz="0" w:space="0" w:color="auto"/>
        <w:bottom w:val="none" w:sz="0" w:space="0" w:color="auto"/>
        <w:right w:val="none" w:sz="0" w:space="0" w:color="auto"/>
      </w:divBdr>
    </w:div>
    <w:div w:id="683164295">
      <w:bodyDiv w:val="1"/>
      <w:marLeft w:val="0"/>
      <w:marRight w:val="0"/>
      <w:marTop w:val="0"/>
      <w:marBottom w:val="0"/>
      <w:divBdr>
        <w:top w:val="none" w:sz="0" w:space="0" w:color="auto"/>
        <w:left w:val="none" w:sz="0" w:space="0" w:color="auto"/>
        <w:bottom w:val="none" w:sz="0" w:space="0" w:color="auto"/>
        <w:right w:val="none" w:sz="0" w:space="0" w:color="auto"/>
      </w:divBdr>
    </w:div>
    <w:div w:id="1236283927">
      <w:bodyDiv w:val="1"/>
      <w:marLeft w:val="0"/>
      <w:marRight w:val="0"/>
      <w:marTop w:val="0"/>
      <w:marBottom w:val="0"/>
      <w:divBdr>
        <w:top w:val="none" w:sz="0" w:space="0" w:color="auto"/>
        <w:left w:val="none" w:sz="0" w:space="0" w:color="auto"/>
        <w:bottom w:val="none" w:sz="0" w:space="0" w:color="auto"/>
        <w:right w:val="none" w:sz="0" w:space="0" w:color="auto"/>
      </w:divBdr>
    </w:div>
    <w:div w:id="1280187699">
      <w:bodyDiv w:val="1"/>
      <w:marLeft w:val="0"/>
      <w:marRight w:val="0"/>
      <w:marTop w:val="0"/>
      <w:marBottom w:val="0"/>
      <w:divBdr>
        <w:top w:val="none" w:sz="0" w:space="0" w:color="auto"/>
        <w:left w:val="none" w:sz="0" w:space="0" w:color="auto"/>
        <w:bottom w:val="none" w:sz="0" w:space="0" w:color="auto"/>
        <w:right w:val="none" w:sz="0" w:space="0" w:color="auto"/>
      </w:divBdr>
      <w:divsChild>
        <w:div w:id="2071532804">
          <w:marLeft w:val="1166"/>
          <w:marRight w:val="0"/>
          <w:marTop w:val="77"/>
          <w:marBottom w:val="0"/>
          <w:divBdr>
            <w:top w:val="none" w:sz="0" w:space="0" w:color="auto"/>
            <w:left w:val="none" w:sz="0" w:space="0" w:color="auto"/>
            <w:bottom w:val="none" w:sz="0" w:space="0" w:color="auto"/>
            <w:right w:val="none" w:sz="0" w:space="0" w:color="auto"/>
          </w:divBdr>
        </w:div>
      </w:divsChild>
    </w:div>
    <w:div w:id="1360161433">
      <w:bodyDiv w:val="1"/>
      <w:marLeft w:val="0"/>
      <w:marRight w:val="0"/>
      <w:marTop w:val="0"/>
      <w:marBottom w:val="0"/>
      <w:divBdr>
        <w:top w:val="none" w:sz="0" w:space="0" w:color="auto"/>
        <w:left w:val="none" w:sz="0" w:space="0" w:color="auto"/>
        <w:bottom w:val="none" w:sz="0" w:space="0" w:color="auto"/>
        <w:right w:val="none" w:sz="0" w:space="0" w:color="auto"/>
      </w:divBdr>
    </w:div>
    <w:div w:id="1466436067">
      <w:bodyDiv w:val="1"/>
      <w:marLeft w:val="0"/>
      <w:marRight w:val="0"/>
      <w:marTop w:val="0"/>
      <w:marBottom w:val="0"/>
      <w:divBdr>
        <w:top w:val="none" w:sz="0" w:space="0" w:color="auto"/>
        <w:left w:val="none" w:sz="0" w:space="0" w:color="auto"/>
        <w:bottom w:val="none" w:sz="0" w:space="0" w:color="auto"/>
        <w:right w:val="none" w:sz="0" w:space="0" w:color="auto"/>
      </w:divBdr>
    </w:div>
    <w:div w:id="1898785353">
      <w:bodyDiv w:val="1"/>
      <w:marLeft w:val="0"/>
      <w:marRight w:val="0"/>
      <w:marTop w:val="0"/>
      <w:marBottom w:val="0"/>
      <w:divBdr>
        <w:top w:val="none" w:sz="0" w:space="0" w:color="auto"/>
        <w:left w:val="none" w:sz="0" w:space="0" w:color="auto"/>
        <w:bottom w:val="none" w:sz="0" w:space="0" w:color="auto"/>
        <w:right w:val="none" w:sz="0" w:space="0" w:color="auto"/>
      </w:divBdr>
    </w:div>
    <w:div w:id="2002464449">
      <w:bodyDiv w:val="1"/>
      <w:marLeft w:val="0"/>
      <w:marRight w:val="0"/>
      <w:marTop w:val="0"/>
      <w:marBottom w:val="0"/>
      <w:divBdr>
        <w:top w:val="none" w:sz="0" w:space="0" w:color="auto"/>
        <w:left w:val="none" w:sz="0" w:space="0" w:color="auto"/>
        <w:bottom w:val="none" w:sz="0" w:space="0" w:color="auto"/>
        <w:right w:val="none" w:sz="0" w:space="0" w:color="auto"/>
      </w:divBdr>
    </w:div>
    <w:div w:id="2021738067">
      <w:bodyDiv w:val="1"/>
      <w:marLeft w:val="0"/>
      <w:marRight w:val="0"/>
      <w:marTop w:val="0"/>
      <w:marBottom w:val="0"/>
      <w:divBdr>
        <w:top w:val="none" w:sz="0" w:space="0" w:color="auto"/>
        <w:left w:val="none" w:sz="0" w:space="0" w:color="auto"/>
        <w:bottom w:val="none" w:sz="0" w:space="0" w:color="auto"/>
        <w:right w:val="none" w:sz="0" w:space="0" w:color="auto"/>
      </w:divBdr>
      <w:divsChild>
        <w:div w:id="8760905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2018-01-18T05:13:00Z</dcterms:created>
  <dcterms:modified xsi:type="dcterms:W3CDTF">2018-01-18T05:13:00Z</dcterms:modified>
</cp:coreProperties>
</file>